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3E15B6A5">
      <w:pPr>
        <w:spacing w:after="288" w:line="384"/>
        <w:jc w:val="left"/>
        <w:rPr>
          <w:color w:val="1565c0"/>
        </w:rPr>
      </w:pPr>
      <w:r>
        <w:rPr>
          <w:rFonts w:hint="eastAsia" w:ascii="黑体" w:hAnsi="黑体" w:eastAsia="黑体" w:cs="黑体"/>
          <w:b w:val="1"/>
          <w:color w:val="1565c0"/>
          <w:spacing w:val="19"/>
          <w:sz w:val="21"/>
        </w:rPr>
        <w:t>ID-Coo 项目 · 组内技术备忘</w:t>
      </w:r>
    </w:p>
    <w:p w14:paraId="5E1249B9">
      <w:pPr>
        <w:spacing w:after="180" w:line="312"/>
        <w:jc w:val="left"/>
        <w:rPr>
          <w:color w:val="1a237e"/>
        </w:rPr>
      </w:pPr>
      <w:r>
        <w:rPr>
          <w:rFonts w:hint="eastAsia" w:ascii="黑体" w:hAnsi="黑体" w:eastAsia="黑体" w:cs="黑体"/>
          <w:b w:val="1"/>
          <w:color w:val="1a237e"/>
          <w:sz w:val="40"/>
        </w:rPr>
        <w:t>检测段 B「单牛自动判定」技术方案</w:t>
      </w:r>
    </w:p>
    <w:p w14:paraId="4A65ABFF">
      <w:pPr>
        <w:spacing w:after="528" w:line="384"/>
        <w:jc w:val="left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6"/>
        </w:rPr>
        <w:t>超声占位传感能否替代人工确认？—— 设备、流程与数据口径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616161"/>
        <w:tblLayout w:type="autofit"/>
        <w:tblCellMar/>
      </w:tblPr>
      <w:tblGrid>
        <w:gridCol w:w="1827"/>
        <w:gridCol w:w="1827"/>
      </w:tblGrid>
      <w:tr>
        <w:trPr>
          <w:tblHeader w:val="1"/>
        </w:trPr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fffff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000BBD">
            <w:pPr>
              <w:jc w:val="left"/>
              <w:rPr>
                <w:b w:val="1"/>
                <w:bCs w:val="1"/>
                <w:color w:val="616161"/>
              </w:rPr>
            </w:pPr>
            <w:r>
              <w:rPr>
                <w:rFonts w:hint="eastAsia" w:ascii="宋体" w:hAnsi="宋体" w:eastAsia="宋体" w:cs="宋体"/>
                <w:b w:val="1"/>
                <w:color w:val="616161"/>
                <w:sz w:val="21"/>
              </w:rPr>
              <w:t>项目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fffff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249373">
            <w:pPr>
              <w:jc w:val="left"/>
              <w:rPr>
                <w:b w:val="1"/>
                <w:bCs w:val="1"/>
                <w:color w:val="616161"/>
              </w:rPr>
            </w:pPr>
            <w:r>
              <w:rPr>
                <w:rFonts w:hint="eastAsia" w:ascii="宋体" w:hAnsi="宋体" w:eastAsia="宋体" w:cs="宋体"/>
                <w:b w:val="1"/>
                <w:color w:val="616161"/>
                <w:sz w:val="21"/>
              </w:rPr>
              <w:t>内容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BF8C04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文档性质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F6F1AD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内部讨论稿，不进入提交报告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B9E462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版本 / 日期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EB7F44">
            <w:pPr>
              <w:jc w:val="left"/>
              <w:rPr>
                <w:color w:val="616161"/>
              </w:rPr>
            </w:pPr>
            <w:r>
              <w:rPr>
                <w:rFonts w:ascii="宋体" w:hAnsi="宋体" w:eastAsia="宋体" w:cs="宋体"/>
                <w:color w:val="616161"/>
                <w:sz w:val="21"/>
              </w:rPr>
              <w:t>v1 · 2026-10-19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F3C73C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整理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5B67DF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组员 4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D92E6B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目标读者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A48DFC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ID-Coo 项目组内部成员（组员 1–5）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BFC40C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用途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F678A6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就「单牛自动判定」方案达成共识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7DD838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关联稿件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4AF558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10.19 整合稿 §1、§5.2、§10.1–§10.7</w:t>
            </w:r>
          </w:p>
        </w:tc>
      </w:tr>
    </w:tbl>
    <w:p w14:paraId="071265E2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62C92DEE">
      <w:pPr>
        <w:spacing w:before="240" w:after="120"/>
      </w:pPr>
      <w:r>
        <w:rPr>
          <w:rFonts w:hint="eastAsia"/>
          <w:b w:val="1"/>
        </w:rPr>
        <w:t>目录</w:t>
      </w:r>
    </w:p>
    <w:p w14:paraId="1F390B9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一、背景与问题界定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24F7F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（一）表观矛盾与物理根因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925BD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（二）方案定位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4A5C47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二、尺寸约束：整个方案的地基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4E7C3B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三、设备清单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5D467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四、判定流程（每头牛一次）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CAA36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五、判定数据与阈值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24FC5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六、阈值标定与验证口径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CA56AD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七、与现有稿子的对应关系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3F2CE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八、待组内确认的决议点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59928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九、适用边界与残余风险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62B6E9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"section-meta" </w:instrText>
      </w:r>
      <w:r>
        <w:fldChar w:fldCharType="separate" w:fldLock="0" w:dirty="0"/>
      </w:r>
      <w:r>
        <w:rPr>
          <w:rFonts w:hint="eastAsia"/>
        </w:rPr>
        <w:t>元信息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section-meta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606C412F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65398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黑体" w:hAnsi="黑体" w:eastAsia="黑体" w:cs="黑体"/>
                <w:b w:val="1"/>
                <w:color w:val="ffffff"/>
                <w:sz w:val="26"/>
              </w:rPr>
              <w:t>核心结论（TL;DR）</w:t>
            </w:r>
          </w:p>
        </w:tc>
      </w:tr>
      <w:tr>
        <w:trPr/>
        <w:tc>
          <w:tcPr>
            <w:tcW w:w="8306" w:type="dxa"/>
            <w:tcBorders>
              <w:left w:val="single" w:color="1565c0" w:sz="24"/>
              <w:bottom w:val="single" w:color="e0e0e0" w:sz="6"/>
              <w:right w:val="single" w:color="e0e0e0" w:sz="6"/>
            </w:tcBorders>
            <w:shd w:val="clear" w:fill="f5f7fa"/>
            <w:tcMar>
              <w:top w:w="288" w:type="dxa"/>
              <w:left w:w="288" w:type="dxa"/>
              <w:bottom w:w="288" w:type="dxa"/>
              <w:right w:w="288" w:type="dxa"/>
            </w:tcMar>
            <w:vAlign w:val="center"/>
          </w:tcPr>
          <w:p w14:paraId="59AB1DAB">
            <w:pPr>
              <w:spacing w:before="72" w:after="72"/>
              <w:ind w:firstLine="480"/>
              <w:jc w:val="both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超声能高置信度证明「B 段有牛、在哪、在动」，但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不能单独证明「只有一头」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——单点测距会被遮挡，回波只来自最前面的那头牛。</w:t>
            </w:r>
          </w:p>
          <w:p w14:paraId="70CB8B7F">
            <w:pPr>
              <w:spacing w:before="72" w:after="72"/>
              <w:ind w:firstLine="480"/>
              <w:jc w:val="both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「仅一头」必须由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尺寸约束 + 双门关闭 + 单牛轮廓／时间模板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三者共同推出。Version 1 保留人工确认，是因为这个组合的整体可靠性尚未被试验验证，这是刻意的安全默认，不是设计缺陷。</w:t>
            </w:r>
          </w:p>
          <w:p w14:paraId="2F6FD1E8">
            <w:pPr>
              <w:spacing w:before="72" w:after="72"/>
              <w:ind w:firstLine="480"/>
              <w:jc w:val="both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本文给出把该组合做实的具体设备、流程与数据，并列出 6 项待全组拍板的决议点。</w:t>
            </w:r>
          </w:p>
        </w:tc>
      </w:tr>
    </w:tbl>
    <w:p w14:paraId="36651945">
      <w:pPr>
        <w:pStyle w:val="000005"/>
        <w:keepNext w:val="1"/>
        <w:keepLines w:val="1"/>
        <w:spacing w:before="528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1" w:name="section-1"/>
      <w:r>
        <w:rPr>
          <w:rFonts w:hint="eastAsia" w:ascii="黑体" w:hAnsi="黑体" w:eastAsia="黑体" w:cs="黑体"/>
          <w:b w:val="1"/>
          <w:color w:val="1a237e"/>
          <w:sz w:val="32"/>
        </w:rPr>
        <w:t>一、背景与问题界定</w:t>
      </w:r>
      <w:bookmarkEnd w:id="1"/>
    </w:p>
    <w:p w14:paraId="55EB0691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本章先说明这处表观矛盾的来源与物理根因，再给出本方案在项目中的定位。</w:t>
      </w:r>
    </w:p>
    <w:p w14:paraId="5C92211F">
      <w:pPr>
        <w:pStyle w:val="000006"/>
        <w:keepNext w:val="1"/>
        <w:keepLines w:val="1"/>
        <w:spacing w:before="288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2" w:name="section-1-1"/>
      <w:r>
        <w:rPr>
          <w:rFonts w:hint="eastAsia" w:ascii="黑体" w:hAnsi="黑体" w:eastAsia="黑体" w:cs="黑体"/>
          <w:b w:val="1"/>
          <w:color w:val="1565c0"/>
          <w:sz w:val="26"/>
        </w:rPr>
        <w:t>（一）表观矛盾与物理根因</w:t>
      </w:r>
      <w:bookmarkEnd w:id="2"/>
    </w:p>
    <w:p w14:paraId="27A70467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当前稿子里有两句话看似冲突：</w:t>
      </w:r>
    </w:p>
    <w:p w14:paraId="427B0011">
      <w:pPr>
        <w:numPr>
          <w:ilvl w:val="0"/>
          <w:numId w:val="1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§10.2 说六个超声点 "monitor occupancy and passage"，并用于佐证读卡结果；</w:t>
      </w:r>
    </w:p>
    <w:p w14:paraId="010076C2">
      <w:pPr>
        <w:numPr>
          <w:ilvl w:val="0"/>
          <w:numId w:val="1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§10.4 又说 Version 1 仍需员工 "confirm one cow in A" 才能放行。</w:t>
      </w:r>
    </w:p>
    <w:p w14:paraId="4ADC621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组内讨论时提出的疑问是：</w:t>
      </w:r>
      <w:r>
        <w:rPr>
          <w:rFonts w:hint="eastAsia" w:ascii="宋体" w:hAnsi="宋体" w:eastAsia="宋体" w:cs="宋体"/>
          <w:b w:val="1"/>
          <w:color w:val="212121"/>
          <w:sz w:val="24"/>
        </w:rPr>
        <w:t>既然超声能佐证单牛，为什么还要人确认？</w:t>
      </w:r>
    </w:p>
    <w:p w14:paraId="09F248A5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根因在于单点测距存在遮挡（shadowing）。一个超声探头只测其轴向上的最近距离；若一头牛挡在另一头前面，回波只来自前面那头，探头在物理上就无法分辨「1 头」还是「2 头」。这正是 §10.2 原文 "one echo cannot prove that only one cow is present" 的根据。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f5f7fa"/>
            <w:vAlign w:val="center"/>
          </w:tcPr>
          <w:p w14:paraId="0D819B1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因此正确的逻辑链是：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① B 段尺寸装不下两头 + ② G1／G2 两端门均关闭 + ③ 轮廓与停留时间符合单牛模板 ⇒ B 内恰好一头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。超声在这个链条里承担的是「有牛 + 位置 + 轮廓 + 通行」，而不是「计数」。</w:t>
            </w:r>
          </w:p>
        </w:tc>
      </w:tr>
    </w:tbl>
    <w:p w14:paraId="4DA725F1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Version 1 保留人工确认，是因为链条 ①②③ 的整体可靠性还没有实测数据支撑（§10.4 原话："Process interlocks do not prove safe first entry"）。</w:t>
      </w:r>
    </w:p>
    <w:p w14:paraId="3E64004D">
      <w:pPr>
        <w:pStyle w:val="000006"/>
        <w:keepNext w:val="1"/>
        <w:keepLines w:val="1"/>
        <w:spacing w:before="288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3" w:name="section-1-2"/>
      <w:r>
        <w:rPr>
          <w:rFonts w:hint="eastAsia" w:ascii="黑体" w:hAnsi="黑体" w:eastAsia="黑体" w:cs="黑体"/>
          <w:b w:val="1"/>
          <w:color w:val="1565c0"/>
          <w:sz w:val="26"/>
        </w:rPr>
        <w:t>（二）方案定位</w:t>
      </w:r>
      <w:bookmarkEnd w:id="3"/>
    </w:p>
    <w:p w14:paraId="4E4E48F5">
      <w:pPr>
        <w:jc w:val="center"/>
      </w:pPr>
      <w:r>
        <w:rPr>
          <w:rFonts w:hint="eastAsia"/>
          <w:color w:val="888888"/>
          <w:sz w:val="18"/>
        </w:rPr>
        <w:t>表 1　方案定位</w:t>
      </w:r>
    </w:p>
    <w:tbl>
      <w:tblPr>
        <w:tblW w:w="8306" w:type="dxa"/>
        <w:shd w:color="212121"/>
        <w:tblLayout w:type="autofit"/>
        <w:tblCellMar/>
      </w:tblPr>
      <w:tblGrid>
        <w:gridCol w:w="1661"/>
        <w:gridCol w:w="6645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164AD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项</w:t>
            </w:r>
          </w:p>
        </w:tc>
        <w:tc>
          <w:tcPr>
            <w:tcW w:w="66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F9C85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内容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1EC03A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目标</w:t>
            </w:r>
          </w:p>
        </w:tc>
        <w:tc>
          <w:tcPr>
            <w:tcW w:w="66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7D8B57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用「尺寸 + 门联锁 + 超声轮廓 + 时间窗 + 单一 EID」组合，替代逐头人工确认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E3ECC2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范围</w:t>
            </w:r>
          </w:p>
        </w:tc>
        <w:tc>
          <w:tcPr>
            <w:tcW w:w="66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C5896E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仅覆盖检测段 B 的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单牛判定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；不涉及耳标读取策略，不涉及 LIS 上报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E92567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与版本关系</w:t>
            </w:r>
          </w:p>
        </w:tc>
        <w:tc>
          <w:tcPr>
            <w:tcW w:w="66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75C36D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即 §10.4 所述 "Automatic entry requires prior validation of separation, anti-pinch protection and exception handling" 的具体化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3241EB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落地方式</w:t>
            </w:r>
          </w:p>
        </w:tc>
        <w:tc>
          <w:tcPr>
            <w:tcW w:w="66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548839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 xml:space="preserve">v1 保留人工确认作为安全默认；本方案作为 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Version 2／试验验证项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6BB840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风险口径</w:t>
            </w:r>
          </w:p>
        </w:tc>
        <w:tc>
          <w:tcPr>
            <w:tcW w:w="66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7598A2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 §10.7 P38 统计；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零观测错误 ≠ 零风险</w:t>
            </w:r>
          </w:p>
        </w:tc>
      </w:tr>
    </w:tbl>
    <w:p w14:paraId="04AFF6C1">
      <w:pPr>
        <w:pStyle w:val="000005"/>
        <w:keepNext w:val="1"/>
        <w:keepLines w:val="1"/>
        <w:spacing w:before="528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4" w:name="section-2"/>
      <w:r>
        <w:rPr>
          <w:rFonts w:hint="eastAsia" w:ascii="黑体" w:hAnsi="黑体" w:eastAsia="黑体" w:cs="黑体"/>
          <w:b w:val="1"/>
          <w:color w:val="1a237e"/>
          <w:sz w:val="32"/>
        </w:rPr>
        <w:t>二、尺寸约束：整个方案的地基</w:t>
      </w:r>
      <w:bookmarkEnd w:id="4"/>
    </w:p>
    <w:p w14:paraId="6B4A2F1F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这是最硬的一环，全部使用稿中已引用的数据，无需新增文献。</w:t>
      </w:r>
    </w:p>
    <w:p w14:paraId="64DAC593">
      <w:pPr>
        <w:jc w:val="center"/>
      </w:pPr>
      <w:r>
        <w:rPr>
          <w:rFonts w:hint="eastAsia"/>
          <w:color w:val="888888"/>
          <w:sz w:val="18"/>
        </w:rPr>
        <w:t>表 2　尺寸约束推导（数据来源均为稿中已引文献）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01519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参数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49EAB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数据来源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2544F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数值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769B5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推出结论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326CA2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奶牛胸宽（650–749 kg HF）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178B19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CIGR 2015，稿中 [30]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332758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0.60 m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FA4E4B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 xml:space="preserve">两头并排需 ≥ </w:t>
            </w:r>
            <w:r>
              <w:rPr>
                <w:rFonts w:ascii="宋体" w:hAnsi="宋体" w:eastAsia="宋体" w:cs="宋体"/>
                <w:b w:val="1"/>
                <w:color w:val="c62828"/>
                <w:sz w:val="21"/>
              </w:rPr>
              <w:t>1.20 m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E01485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通道净宽（可调 alley）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53ECDB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Arrowquip，稿中 [20] [29]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E59EA7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526–800 mm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1AC2B1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1.20 m 超出 0.80 m 上限，两头并排物理装不下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22474A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奶牛体长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1D87A7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CIGR [30]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01EB9C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1.75 m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3CEEEE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两头首尾相接需 ≥ 3.50 m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ADA3F9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奶牛躯干长（实测均值）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7DC55E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Cerqueira 2013（1,054 头），稿中 [31]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7D62A6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1.708 m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7E7DB4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 xml:space="preserve">两头首尾相接需 ≥ </w:t>
            </w:r>
            <w:r>
              <w:rPr>
                <w:rFonts w:ascii="宋体" w:hAnsi="宋体" w:eastAsia="宋体" w:cs="宋体"/>
                <w:b w:val="1"/>
                <w:color w:val="c62828"/>
                <w:sz w:val="21"/>
              </w:rPr>
              <w:t>3.42 m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6362BD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B 段设计内长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781482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本方案建议值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85C4A8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b w:val="1"/>
                <w:color w:val="c62828"/>
                <w:sz w:val="21"/>
              </w:rPr>
              <w:t>2.0–2.5 m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992FE9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2.5 m 小于 3.42 m，首尾两头也装不下</w:t>
            </w:r>
          </w:p>
        </w:tc>
      </w:tr>
    </w:tbl>
    <w:p w14:paraId="7BA3BF33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推论：</w:t>
      </w:r>
      <w:r>
        <w:rPr>
          <w:rFonts w:hint="eastAsia" w:ascii="宋体" w:hAnsi="宋体" w:eastAsia="宋体" w:cs="宋体"/>
          <w:color w:val="212121"/>
          <w:sz w:val="24"/>
        </w:rPr>
        <w:t>只要 B 段净宽 ≤ 800 mm、内长 ≤ 2.5 m，且现场勘察确认（§10.1 P6 已要求 "A farm survey must confirm final dimensions"），两头牛就不可能同时位于 B 内。此时「检测到占用 + G1／G2 均关闭 + 出口未确认」在逻辑上等价于「恰好一头」。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65100" w:sz="24"/>
              <w:bottom w:val="none" w:sz="8"/>
              <w:right w:val="none" w:sz="8"/>
            </w:tcBorders>
            <w:shd w:val="clear" w:fill="f5f7fa"/>
            <w:vAlign w:val="center"/>
          </w:tcPr>
          <w:p w14:paraId="38D6791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注意：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§10.1 P6 已有告诫——"a standard module does not necessarily hold one cow"，且 "Other breeds require a fresh dimensional check"。该约束必须逐场确认，不能默认成立。</w:t>
            </w:r>
          </w:p>
        </w:tc>
      </w:tr>
    </w:tbl>
    <w:p w14:paraId="691169FB">
      <w:pPr>
        <w:pStyle w:val="000005"/>
        <w:keepNext w:val="1"/>
        <w:keepLines w:val="1"/>
        <w:spacing w:before="528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5" w:name="section-3"/>
      <w:r>
        <w:rPr>
          <w:rFonts w:hint="eastAsia" w:ascii="黑体" w:hAnsi="黑体" w:eastAsia="黑体" w:cs="黑体"/>
          <w:b w:val="1"/>
          <w:color w:val="1a237e"/>
          <w:sz w:val="32"/>
        </w:rPr>
        <w:t>三、设备清单</w:t>
      </w:r>
      <w:bookmarkEnd w:id="5"/>
    </w:p>
    <w:p w14:paraId="3F6F51E0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下表规格为建议值，需按厂商样本与现场实测确定；稿中 §10.2 已声明 "Six points are provisional"。</w:t>
      </w:r>
    </w:p>
    <w:p w14:paraId="25ADBCB6">
      <w:pPr>
        <w:jc w:val="center"/>
      </w:pPr>
      <w:r>
        <w:rPr>
          <w:rFonts w:hint="eastAsia"/>
          <w:color w:val="888888"/>
          <w:sz w:val="18"/>
        </w:rPr>
        <w:t>表 3　传感设备与安装</w:t>
      </w:r>
    </w:p>
    <w:tbl>
      <w:tblPr>
        <w:tblW w:w="8306" w:type="dxa"/>
        <w:shd w:color="212121"/>
        <w:tblLayout w:type="autofit"/>
        <w:tblCellMar/>
      </w:tblPr>
      <w:tblGrid>
        <w:gridCol w:w="996"/>
        <w:gridCol w:w="2491"/>
        <w:gridCol w:w="2491"/>
        <w:gridCol w:w="2328"/>
      </w:tblGrid>
      <w:tr>
        <w:trPr>
          <w:tblHeader w:val="1"/>
        </w:trPr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811E8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编号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F2E77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设备与建议规格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58461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安装位置</w:t>
            </w:r>
          </w:p>
        </w:tc>
        <w:tc>
          <w:tcPr>
            <w:tcW w:w="2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B3D41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作用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A334F6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U-B1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7CE14A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超声探头，量程 200–300 cm，窄波束 10–15°，采样 40–60 Hz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0013DD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 xml:space="preserve">B 段纵向第 1 点上方约 </w:t>
            </w:r>
            <w:r>
              <w:rPr>
                <w:rFonts w:ascii="宋体" w:hAnsi="宋体" w:eastAsia="宋体" w:cs="宋体"/>
                <w:b w:val="1"/>
                <w:color w:val="212121"/>
                <w:sz w:val="21"/>
              </w:rPr>
              <w:t>1.8–2.0 m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（高于肩高 1.44 m [30] 留余量），顶视</w:t>
            </w:r>
          </w:p>
        </w:tc>
        <w:tc>
          <w:tcPr>
            <w:tcW w:w="2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0E4EE3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采集高度轮廓（前半段：肩／背线）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D5C67A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U-B2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47FF7E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同上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6563D0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B 段纵向第 2 点上方同高，顶视</w:t>
            </w:r>
          </w:p>
        </w:tc>
        <w:tc>
          <w:tcPr>
            <w:tcW w:w="2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BB86CE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采集高度轮廓（后半段：躯干／髋），与 U-B1 交叉确认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0DA225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U-S1／U-S2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67CA85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同上（可选，成本项）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BE4BA1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B 段两侧，离地约 0.9–1.0 m</w:t>
            </w:r>
          </w:p>
        </w:tc>
        <w:tc>
          <w:tcPr>
            <w:tcW w:w="2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DB1748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横向位置监测，保证牛居中、读距一致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848E69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U-A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F73789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同上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BF3D82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A 缓冲段</w:t>
            </w:r>
          </w:p>
        </w:tc>
        <w:tc>
          <w:tcPr>
            <w:tcW w:w="2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6BA64B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占位检测：确认 A 段有牛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CCE2EC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U-IN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5AE6D5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同上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E81015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入口</w:t>
            </w:r>
          </w:p>
        </w:tc>
        <w:tc>
          <w:tcPr>
            <w:tcW w:w="2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AE7F02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占位 + 通行检测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026752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U-N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907051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同上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3D5CB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邻接区</w:t>
            </w:r>
          </w:p>
        </w:tc>
        <w:tc>
          <w:tcPr>
            <w:tcW w:w="2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E48238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邻标签／邻牛监测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3811B8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U-Q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C5CB36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同上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3B34C2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排队区</w:t>
            </w:r>
          </w:p>
        </w:tc>
        <w:tc>
          <w:tcPr>
            <w:tcW w:w="2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34A5DC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防跟随牛（follower）检测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735F5C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同步单元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8EF40A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接入既有 PLC，读门位置反馈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F87176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控制柜</w:t>
            </w:r>
          </w:p>
        </w:tc>
        <w:tc>
          <w:tcPr>
            <w:tcW w:w="2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F1CDAD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各探头交错发射（staggered），时隙错开 2–5 ms，远小于回波衰减，抑制串扰（稿中 [36]）</w:t>
            </w:r>
          </w:p>
        </w:tc>
      </w:tr>
    </w:tbl>
    <w:p w14:paraId="61483BD1">
      <w:pPr>
        <w:pStyle w:val="000005"/>
        <w:keepNext w:val="1"/>
        <w:keepLines w:val="1"/>
        <w:spacing w:before="528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6" w:name="section-4"/>
      <w:r>
        <w:rPr>
          <w:rFonts w:hint="eastAsia" w:ascii="黑体" w:hAnsi="黑体" w:eastAsia="黑体" w:cs="黑体"/>
          <w:b w:val="1"/>
          <w:color w:val="1a237e"/>
          <w:sz w:val="32"/>
        </w:rPr>
        <w:t>四、判定流程（每头牛一次）</w:t>
      </w:r>
      <w:bookmarkEnd w:id="6"/>
    </w:p>
    <w:p w14:paraId="0573D06E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出口确认必须由超声 + 门反馈共同完成：§10.4 原文 "Sensors and gate feedback confirm exit; a timer alone cannot" 正是最后一步的依据，也是 planned exit 与 actual exit 对账的数据来源。</w:t>
      </w:r>
    </w:p>
    <w:p w14:paraId="1E481AC6">
      <w:pPr>
        <w:jc w:val="center"/>
      </w:pPr>
      <w:r>
        <w:rPr>
          <w:rFonts w:hint="eastAsia"/>
          <w:color w:val="888888"/>
          <w:sz w:val="18"/>
        </w:rPr>
        <w:t>表 4　单牛自动判定流程</w:t>
      </w:r>
    </w:p>
    <w:tbl>
      <w:tblPr>
        <w:tblW w:w="8306" w:type="dxa"/>
        <w:shd w:color="212121"/>
        <w:tblLayout w:type="autofit"/>
        <w:tblCellMar/>
      </w:tblPr>
      <w:tblGrid>
        <w:gridCol w:w="1162"/>
        <w:gridCol w:w="3322"/>
        <w:gridCol w:w="3822"/>
      </w:tblGrid>
      <w:tr>
        <w:trPr>
          <w:tblHeader w:val="1"/>
        </w:trPr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B57C4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步骤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91D24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动作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7EC05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判据 / 失败处理</w:t>
            </w:r>
          </w:p>
        </w:tc>
      </w:tr>
      <w:tr>
        <w:trPr/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C4838E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0　开班校准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7EA4F3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各点测空赛道基准（§10.2 P14 baseline）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7FC98A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洗栏后必须重测</w:t>
            </w:r>
          </w:p>
        </w:tc>
      </w:tr>
      <w:tr>
        <w:trPr/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60321D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　牛进 A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8122D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U-A／U-IN 报 occupied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D34942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A 段按单牛尺寸约束</w:t>
            </w:r>
          </w:p>
        </w:tc>
      </w:tr>
      <w:tr>
        <w:trPr/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D0F239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2　单牛确认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C9C91E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v1 人工确认 / v2 自动判定 A 内仅一头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5F390A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不确定 → 不进入下一步</w:t>
            </w:r>
          </w:p>
        </w:tc>
      </w:tr>
      <w:tr>
        <w:trPr/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74A544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3　进 B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9113F5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G0 关、G1 开，牛进入 B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395767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71C8EE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4　关门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53D8C9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U-B1／U-B2 须在时间窗内报 occupied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A2C9A6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未报 → 停止，检查探头</w:t>
            </w:r>
          </w:p>
        </w:tc>
      </w:tr>
      <w:tr>
        <w:trPr/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A03F3F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5　扫描窗口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337B57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G1、G2 均关闭；采集 B1／B2 高度轮廓 + 横向位置 + EID 读数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3A6441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数据缺失 → uncertain</w:t>
            </w:r>
          </w:p>
        </w:tc>
      </w:tr>
      <w:tr>
        <w:trPr/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3AD8F9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6　融合判定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B6366E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按表 5 阈值逐项判定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04872D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任一项 fail → 转复核栏人工处理（§10.4 P27）</w:t>
            </w:r>
          </w:p>
        </w:tc>
      </w:tr>
      <w:tr>
        <w:trPr/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DCE5B9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7　放行与出口确认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29485D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通过 → 接受身份、D 定位、G2 开；U-Q／U-N + 门反馈确认实际出口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2E5FE3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与 planned exit 不一致 → 记为例外</w:t>
            </w:r>
          </w:p>
        </w:tc>
      </w:tr>
    </w:tbl>
    <w:p w14:paraId="3DEE3778">
      <w:pPr>
        <w:pStyle w:val="000005"/>
        <w:keepNext w:val="1"/>
        <w:keepLines w:val="1"/>
        <w:spacing w:before="528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7" w:name="section-5"/>
      <w:r>
        <w:rPr>
          <w:rFonts w:hint="eastAsia" w:ascii="黑体" w:hAnsi="黑体" w:eastAsia="黑体" w:cs="黑体"/>
          <w:b w:val="1"/>
          <w:color w:val="1a237e"/>
          <w:sz w:val="32"/>
        </w:rPr>
        <w:t>五、判定数据与阈值</w:t>
      </w:r>
      <w:bookmarkEnd w:id="7"/>
    </w:p>
    <w:p w14:paraId="5D4BEA49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每个探头输出 40–60 Hz 距离流，衍生以下特征。</w:t>
      </w:r>
      <w:r>
        <w:rPr>
          <w:rFonts w:hint="eastAsia" w:ascii="宋体" w:hAnsi="宋体" w:eastAsia="宋体" w:cs="宋体"/>
          <w:b w:val="1"/>
          <w:color w:val="212121"/>
          <w:sz w:val="24"/>
        </w:rPr>
        <w:t>阈值均为建议初值，必须由试验标定</w:t>
      </w:r>
      <w:r>
        <w:rPr>
          <w:rFonts w:hint="eastAsia" w:ascii="宋体" w:hAnsi="宋体" w:eastAsia="宋体" w:cs="宋体"/>
          <w:color w:val="212121"/>
          <w:sz w:val="24"/>
        </w:rPr>
        <w:t>，不在稿中写死。</w:t>
      </w:r>
    </w:p>
    <w:p w14:paraId="745A9B73">
      <w:pPr>
        <w:jc w:val="center"/>
      </w:pPr>
      <w:r>
        <w:rPr>
          <w:rFonts w:hint="eastAsia"/>
          <w:color w:val="888888"/>
          <w:sz w:val="18"/>
        </w:rPr>
        <w:t>表 5　判定特征与建议阈值</w:t>
      </w:r>
    </w:p>
    <w:tbl>
      <w:tblPr>
        <w:tblW w:w="8306" w:type="dxa"/>
        <w:shd w:color="212121"/>
        <w:tblLayout w:type="autofit"/>
        <w:tblCellMar/>
      </w:tblPr>
      <w:tblGrid>
        <w:gridCol w:w="1827"/>
        <w:gridCol w:w="2824"/>
        <w:gridCol w:w="3655"/>
      </w:tblGrid>
      <w:tr>
        <w:trPr>
          <w:tblHeader w:val="1"/>
        </w:trPr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3A3B3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特征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76A82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判据（建议初值）</w:t>
            </w:r>
          </w:p>
        </w:tc>
        <w:tc>
          <w:tcPr>
            <w:tcW w:w="36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B4BD3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失败含义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42F959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占用状态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7CAB45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empty / occupied / uncertain，带迟滞防抖</w:t>
            </w:r>
          </w:p>
        </w:tc>
        <w:tc>
          <w:tcPr>
            <w:tcW w:w="36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79DADF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无回声、数据过期、探头故障 → uncertain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B14756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轮廓峰宽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186BC3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 xml:space="preserve">≤ </w:t>
            </w:r>
            <w:r>
              <w:rPr>
                <w:rFonts w:ascii="宋体" w:hAnsi="宋体" w:eastAsia="宋体" w:cs="宋体"/>
                <w:b w:val="1"/>
                <w:color w:val="c62828"/>
                <w:sz w:val="21"/>
              </w:rPr>
              <w:t>0.75 m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（单牛胸宽 0.60 m + 运动余量）</w:t>
            </w:r>
          </w:p>
        </w:tc>
        <w:tc>
          <w:tcPr>
            <w:tcW w:w="36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C159AE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超宽 → 疑两头并排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39CE95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通行时长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725C66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b w:val="1"/>
                <w:color w:val="c62828"/>
                <w:sz w:val="21"/>
              </w:rPr>
              <w:t>4–12 s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（对应 §10.7 约 24 s／头中 B 段耗时）</w:t>
            </w:r>
          </w:p>
        </w:tc>
        <w:tc>
          <w:tcPr>
            <w:tcW w:w="36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EE7473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接近翻倍 → 疑两头首尾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D6FC08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横向偏移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7B4641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 xml:space="preserve">距中心 </w:t>
            </w:r>
            <w:r>
              <w:rPr>
                <w:rFonts w:ascii="宋体" w:hAnsi="宋体" w:eastAsia="宋体" w:cs="宋体"/>
                <w:b w:val="1"/>
                <w:color w:val="c62828"/>
                <w:sz w:val="21"/>
              </w:rPr>
              <w:t>±0.15 m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 xml:space="preserve"> 内</w:t>
            </w:r>
          </w:p>
        </w:tc>
        <w:tc>
          <w:tcPr>
            <w:tcW w:w="36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8FBD0C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越限 → 读距不可比，判 uncertain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D3133F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窗口内不同 EID 读数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401ABA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b w:val="1"/>
                <w:color w:val="c62828"/>
                <w:sz w:val="21"/>
              </w:rPr>
              <w:t>= 1</w:t>
            </w:r>
          </w:p>
        </w:tc>
        <w:tc>
          <w:tcPr>
            <w:tcW w:w="36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AEFA18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大于 1 → 邻标签误读，判 uncertain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914A63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出口确认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D81A63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U-Q／U-N 与门反馈一致</w:t>
            </w:r>
          </w:p>
        </w:tc>
        <w:tc>
          <w:tcPr>
            <w:tcW w:w="36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948F8F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不一致 → 记例外，与 planned exit 对账</w:t>
            </w:r>
          </w:p>
        </w:tc>
      </w:tr>
    </w:tbl>
    <w:p w14:paraId="2A584167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其中「窗口内不同 EID 读数 = 1」直接回应 §10.2 P16 的邻标签误读问题：即使天线读到旁边牛的标签，只要距离轮廓表明 B 内仅一头，该次读取即被判为邻读并拒绝。</w:t>
      </w:r>
    </w:p>
    <w:p w14:paraId="00F69F3D">
      <w:pPr>
        <w:pStyle w:val="000005"/>
        <w:keepNext w:val="1"/>
        <w:keepLines w:val="1"/>
        <w:spacing w:before="528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8" w:name="section-6"/>
      <w:r>
        <w:rPr>
          <w:rFonts w:hint="eastAsia" w:ascii="黑体" w:hAnsi="黑体" w:eastAsia="黑体" w:cs="黑体"/>
          <w:b w:val="1"/>
          <w:color w:val="1a237e"/>
          <w:sz w:val="32"/>
        </w:rPr>
        <w:t>六、阈值标定与验证口径</w:t>
      </w:r>
      <w:bookmarkEnd w:id="8"/>
    </w:p>
    <w:p w14:paraId="264D945E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阈值不能拍脑袋定，须按 §10.7 P38 的既有口径在试验中取得：</w:t>
      </w:r>
    </w:p>
    <w:p w14:paraId="132CF5DB">
      <w:pPr>
        <w:jc w:val="center"/>
      </w:pPr>
      <w:r>
        <w:rPr>
          <w:rFonts w:hint="eastAsia"/>
          <w:color w:val="888888"/>
          <w:sz w:val="18"/>
        </w:rPr>
        <w:t>表 6　验证指标与口径</w:t>
      </w:r>
    </w:p>
    <w:tbl>
      <w:tblPr>
        <w:tblW w:w="8306" w:type="dxa"/>
        <w:shd w:color="212121"/>
        <w:tblLayout w:type="autofit"/>
        <w:tblCellMar/>
      </w:tblPr>
      <w:tblGrid>
        <w:gridCol w:w="2491"/>
        <w:gridCol w:w="5815"/>
      </w:tblGrid>
      <w:tr>
        <w:trPr>
          <w:tblHeader w:val="1"/>
        </w:trPr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C8444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指标</w:t>
            </w:r>
          </w:p>
        </w:tc>
        <w:tc>
          <w:tcPr>
            <w:tcW w:w="581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93B24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口径</w:t>
            </w:r>
          </w:p>
        </w:tc>
      </w:tr>
      <w:tr>
        <w:trPr/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2829AD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确认读准确率</w:t>
            </w:r>
          </w:p>
        </w:tc>
        <w:tc>
          <w:tcPr>
            <w:tcW w:w="581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671E39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 xml:space="preserve">对标暂定目标 </w:t>
            </w:r>
            <w:r>
              <w:rPr>
                <w:rFonts w:ascii="宋体" w:hAnsi="宋体" w:eastAsia="宋体" w:cs="宋体"/>
                <w:b w:val="1"/>
                <w:color w:val="212121"/>
                <w:sz w:val="21"/>
              </w:rPr>
              <w:t>≥ 99.5%</w:t>
            </w:r>
          </w:p>
        </w:tc>
      </w:tr>
      <w:tr>
        <w:trPr/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9D84A7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覆盖率</w:t>
            </w:r>
          </w:p>
        </w:tc>
        <w:tc>
          <w:tcPr>
            <w:tcW w:w="581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2CFF88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单独报告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，不与准确率混算</w:t>
            </w:r>
          </w:p>
        </w:tc>
      </w:tr>
      <w:tr>
        <w:trPr/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5BF758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误分流</w:t>
            </w:r>
          </w:p>
        </w:tc>
        <w:tc>
          <w:tcPr>
            <w:tcW w:w="581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CC856F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计数并归因（尺寸／轮廓／邻标签／门故障）</w:t>
            </w:r>
          </w:p>
        </w:tc>
      </w:tr>
      <w:tr>
        <w:trPr/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213267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例外与接管</w:t>
            </w:r>
          </w:p>
        </w:tc>
        <w:tc>
          <w:tcPr>
            <w:tcW w:w="581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51446E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uncertain 次数、转人工次数、净工时</w:t>
            </w:r>
          </w:p>
        </w:tc>
      </w:tr>
      <w:tr>
        <w:trPr/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A6FEA7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planned vs actual exit</w:t>
            </w:r>
          </w:p>
        </w:tc>
        <w:tc>
          <w:tcPr>
            <w:tcW w:w="581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148D33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逐头对账，统计不一致率</w:t>
            </w:r>
          </w:p>
        </w:tc>
      </w:tr>
      <w:tr>
        <w:trPr/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B81B45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独立性</w:t>
            </w:r>
          </w:p>
        </w:tc>
        <w:tc>
          <w:tcPr>
            <w:tcW w:w="581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8332C4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同一牛群重复通行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不算独立样本</w:t>
            </w:r>
          </w:p>
        </w:tc>
      </w:tr>
      <w:tr>
        <w:trPr/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CB3D4F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风险表述</w:t>
            </w:r>
          </w:p>
        </w:tc>
        <w:tc>
          <w:tcPr>
            <w:tcW w:w="581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13DAC7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零观测错误 ≠ 零风险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，只能给带置信区间的性能</w:t>
            </w:r>
          </w:p>
        </w:tc>
      </w:tr>
    </w:tbl>
    <w:p w14:paraId="263FAF7D">
      <w:pPr>
        <w:pStyle w:val="000005"/>
        <w:keepNext w:val="1"/>
        <w:keepLines w:val="1"/>
        <w:spacing w:before="528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9" w:name="section-7"/>
      <w:r>
        <w:rPr>
          <w:rFonts w:hint="eastAsia" w:ascii="黑体" w:hAnsi="黑体" w:eastAsia="黑体" w:cs="黑体"/>
          <w:b w:val="1"/>
          <w:color w:val="1a237e"/>
          <w:sz w:val="32"/>
        </w:rPr>
        <w:t>七、与现有稿子的对应关系</w:t>
      </w:r>
      <w:bookmarkEnd w:id="9"/>
    </w:p>
    <w:p w14:paraId="766315BA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若本方案被采纳，以下段落需同步处理；正式正文仍须由负责同学在 Cadmus 中亲自录入。</w:t>
      </w:r>
    </w:p>
    <w:p w14:paraId="0D6A10E6">
      <w:pPr>
        <w:jc w:val="center"/>
      </w:pPr>
      <w:r>
        <w:rPr>
          <w:rFonts w:hint="eastAsia"/>
          <w:color w:val="888888"/>
          <w:sz w:val="18"/>
        </w:rPr>
        <w:t>表 7　需同步的稿件位置</w:t>
      </w:r>
    </w:p>
    <w:tbl>
      <w:tblPr>
        <w:tblW w:w="8306" w:type="dxa"/>
        <w:shd w:color="212121"/>
        <w:tblLayout w:type="autofit"/>
        <w:tblCellMar/>
      </w:tblPr>
      <w:tblGrid>
        <w:gridCol w:w="1827"/>
        <w:gridCol w:w="2657"/>
        <w:gridCol w:w="3822"/>
      </w:tblGrid>
      <w:tr>
        <w:trPr>
          <w:tblHeader w:val="1"/>
        </w:trPr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314B1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稿中位置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55E31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现状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86831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采纳后的处理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AF7CB1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§10.2 P14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338A46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六点、三态、公式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782864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末尾补一句边界说明（见下方建议补句）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A33D45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§10.2 P15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A028FE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六点暂定、盲区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2E50E2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不变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5B1CC1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§10.4 P24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83DD4B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"Version 1 needs no machine learning"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38190D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改为 "ID-Coo's Version 1 design uses a rule-based state machine…"，锚定 Version 1 = ID-Coo 当前设计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6F4695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§10.4 P26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DE7030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"Version 1 retains staff confirmation…"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102EE5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保留；其后补一句 Version 2 自动进栏的前置条件，具体指向本备忘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E5B972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§10.4 P26 尾句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B59850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"Automatic entry requires prior validation of separation, anti-pinch protection and exception handling"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EA71B3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补 "（separation criteria and thresholds are specified in the internal single-cow verification memo）"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A36D33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§5.2 SWOT 弱点段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53D354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"a single ultrasonic sensing point cannot establish that only one animal occupies the read zone"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4739BA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保留；与 §10.2 补句呼应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5917A8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Figure 2「Local log + HMI」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A672DF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HMI 未定义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6EDD98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§10.5 首次出现界面处补 "the human–machine interface (HMI) shown in Figure 2"</w:t>
            </w:r>
          </w:p>
        </w:tc>
      </w:tr>
    </w:tbl>
    <w:p w14:paraId="7FF1917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f5f7fa"/>
            <w:vAlign w:val="center"/>
          </w:tcPr>
          <w:p w14:paraId="7A02358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§10.2 P14 建议补句（供参考）：</w:t>
            </w:r>
            <w:r>
              <w:rPr>
                <w:rFonts w:ascii="宋体" w:hAnsi="宋体" w:eastAsia="宋体" w:cs="宋体"/>
                <w:color w:val="212121"/>
                <w:sz w:val="24"/>
              </w:rPr>
              <w:t>These points corroborate occupancy and passage; they cannot by themselves count animals, so single-cow acceptance in Version 1 remains a staff confirmation, to be automated only after the trial validates the separation criteria.</w:t>
            </w:r>
          </w:p>
        </w:tc>
      </w:tr>
    </w:tbl>
    <w:p w14:paraId="37C8DA64">
      <w:pPr>
        <w:pStyle w:val="000005"/>
        <w:keepNext w:val="1"/>
        <w:keepLines w:val="1"/>
        <w:spacing w:before="528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10" w:name="section-8"/>
      <w:r>
        <w:rPr>
          <w:rFonts w:hint="eastAsia" w:ascii="黑体" w:hAnsi="黑体" w:eastAsia="黑体" w:cs="黑体"/>
          <w:b w:val="1"/>
          <w:color w:val="1a237e"/>
          <w:sz w:val="32"/>
        </w:rPr>
        <w:t>八、待组内确认的决议点</w:t>
      </w:r>
      <w:bookmarkEnd w:id="10"/>
    </w:p>
    <w:p w14:paraId="00A543C0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以下 6 项需全组拍板，建议在下次组会逐项过：</w:t>
      </w:r>
    </w:p>
    <w:p w14:paraId="33823353">
      <w:pPr>
        <w:jc w:val="center"/>
      </w:pPr>
      <w:r>
        <w:rPr>
          <w:rFonts w:hint="eastAsia"/>
          <w:color w:val="888888"/>
          <w:sz w:val="18"/>
        </w:rPr>
        <w:t>表 8　决议点清单</w:t>
      </w:r>
    </w:p>
    <w:tbl>
      <w:tblPr>
        <w:tblW w:w="8306" w:type="dxa"/>
        <w:shd w:color="212121"/>
        <w:tblLayout w:type="autofit"/>
        <w:tblCellMar/>
      </w:tblPr>
      <w:tblGrid>
        <w:gridCol w:w="830"/>
        <w:gridCol w:w="3156"/>
        <w:gridCol w:w="2491"/>
        <w:gridCol w:w="1829"/>
      </w:tblGrid>
      <w:tr>
        <w:trPr>
          <w:tblHeader w:val="1"/>
        </w:trPr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6540D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编号</w:t>
            </w:r>
          </w:p>
        </w:tc>
        <w:tc>
          <w:tcPr>
            <w:tcW w:w="315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BAA4B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决议事项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82527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建议</w:t>
            </w:r>
          </w:p>
        </w:tc>
        <w:tc>
          <w:tcPr>
            <w:tcW w:w="182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CB099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需谁确认</w:t>
            </w:r>
          </w:p>
        </w:tc>
      </w:tr>
      <w:tr>
        <w:trPr/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EE3411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D1</w:t>
            </w:r>
          </w:p>
        </w:tc>
        <w:tc>
          <w:tcPr>
            <w:tcW w:w="315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9F420C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B 段硬约束：净宽 ≤ 800 mm、内长 ≤ 2.5 m，是否采纳为设计红线并写入 §10.1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40229A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采纳，注明需现场勘察逐场确认</w:t>
            </w:r>
          </w:p>
        </w:tc>
        <w:tc>
          <w:tcPr>
            <w:tcW w:w="182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D48DB7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组员 4 + 组员 5（尺寸／体尺数据）</w:t>
            </w:r>
          </w:p>
        </w:tc>
      </w:tr>
      <w:tr>
        <w:trPr/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455030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D2</w:t>
            </w:r>
          </w:p>
        </w:tc>
        <w:tc>
          <w:tcPr>
            <w:tcW w:w="315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DAFB44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是否将本方案作为 Version 2 条目写入 §10.4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DDD053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写入，作为试验验证项而非交付承诺</w:t>
            </w:r>
          </w:p>
        </w:tc>
        <w:tc>
          <w:tcPr>
            <w:tcW w:w="182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2F9B0F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全组</w:t>
            </w:r>
          </w:p>
        </w:tc>
      </w:tr>
      <w:tr>
        <w:trPr/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DD8BEA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D3</w:t>
            </w:r>
          </w:p>
        </w:tc>
        <w:tc>
          <w:tcPr>
            <w:tcW w:w="315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755060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人工确认的触发粒度：全部判据通过才放行，还是仅保留「进栏确认」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297EA3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保留进栏确认（与现稿一致），其余判据用于试验</w:t>
            </w:r>
          </w:p>
        </w:tc>
        <w:tc>
          <w:tcPr>
            <w:tcW w:w="182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DC740D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组员 4</w:t>
            </w:r>
          </w:p>
        </w:tc>
      </w:tr>
      <w:tr>
        <w:trPr/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6FD1B4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D4</w:t>
            </w:r>
          </w:p>
        </w:tc>
        <w:tc>
          <w:tcPr>
            <w:tcW w:w="315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274307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侧向超声 U-S1／U-S2 是否纳入（成本 vs 轮廓可信度）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6A5D63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先不纳入，若试验出现横向偏移超标再补</w:t>
            </w:r>
          </w:p>
        </w:tc>
        <w:tc>
          <w:tcPr>
            <w:tcW w:w="182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FE7776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组员 4 + 成本负责人</w:t>
            </w:r>
          </w:p>
        </w:tc>
      </w:tr>
      <w:tr>
        <w:trPr/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8FFEFD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D5</w:t>
            </w:r>
          </w:p>
        </w:tc>
        <w:tc>
          <w:tcPr>
            <w:tcW w:w="315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F29FE2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阈值是否由试验标定后回填，而非在稿中写死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1FB399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是；稿中只写判据与量纲，不写死数值</w:t>
            </w:r>
          </w:p>
        </w:tc>
        <w:tc>
          <w:tcPr>
            <w:tcW w:w="182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81BDA9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全组</w:t>
            </w:r>
          </w:p>
        </w:tc>
      </w:tr>
      <w:tr>
        <w:trPr/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1EA800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D6</w:t>
            </w:r>
          </w:p>
        </w:tc>
        <w:tc>
          <w:tcPr>
            <w:tcW w:w="315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3E6825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是否需在 §10.2 增加「超声不计数」的显式边界句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E5EA14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增加（见表 7 建议补句）</w:t>
            </w:r>
          </w:p>
        </w:tc>
        <w:tc>
          <w:tcPr>
            <w:tcW w:w="182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8AE8DD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组员 4</w:t>
            </w:r>
          </w:p>
        </w:tc>
      </w:tr>
    </w:tbl>
    <w:p w14:paraId="13E560A7">
      <w:pPr>
        <w:pStyle w:val="000005"/>
        <w:keepNext w:val="1"/>
        <w:keepLines w:val="1"/>
        <w:spacing w:before="528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11" w:name="section-9"/>
      <w:r>
        <w:rPr>
          <w:rFonts w:hint="eastAsia" w:ascii="黑体" w:hAnsi="黑体" w:eastAsia="黑体" w:cs="黑体"/>
          <w:b w:val="1"/>
          <w:color w:val="1a237e"/>
          <w:sz w:val="32"/>
        </w:rPr>
        <w:t>九、适用边界与残余风险</w:t>
      </w:r>
      <w:bookmarkEnd w:id="11"/>
    </w:p>
    <w:p w14:paraId="57C97433">
      <w:pPr>
        <w:numPr>
          <w:ilvl w:val="0"/>
          <w:numId w:val="2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遮挡不可完全消除：</w:t>
      </w:r>
      <w:r>
        <w:rPr>
          <w:rFonts w:hint="eastAsia" w:ascii="宋体" w:hAnsi="宋体" w:eastAsia="宋体" w:cs="宋体"/>
          <w:color w:val="212121"/>
          <w:sz w:val="24"/>
        </w:rPr>
        <w:t>即使多点交叉，贴在一起的同侧双牛仍可能骗过轮廓判据。本方案把残余风险显式交给「uncertain → 人工」，而不是声称已解决。</w:t>
      </w:r>
    </w:p>
    <w:p w14:paraId="7B493829">
      <w:pPr>
        <w:numPr>
          <w:ilvl w:val="0"/>
          <w:numId w:val="2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动物个体差异：</w:t>
      </w:r>
      <w:r>
        <w:rPr>
          <w:rFonts w:hint="eastAsia" w:ascii="宋体" w:hAnsi="宋体" w:eastAsia="宋体" w:cs="宋体"/>
          <w:color w:val="212121"/>
          <w:sz w:val="24"/>
        </w:rPr>
        <w:t>不同品种、体型（尤其干乳期与泌乳高峰期）会改变轮廓模板；§10.1 P6 已要求逐品种重新校核。</w:t>
      </w:r>
    </w:p>
    <w:p w14:paraId="765B753C">
      <w:pPr>
        <w:numPr>
          <w:ilvl w:val="0"/>
          <w:numId w:val="2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环境因素：</w:t>
      </w:r>
      <w:r>
        <w:rPr>
          <w:rFonts w:hint="eastAsia" w:ascii="宋体" w:hAnsi="宋体" w:eastAsia="宋体" w:cs="宋体"/>
          <w:color w:val="212121"/>
          <w:sz w:val="24"/>
        </w:rPr>
        <w:t>洗栏后水膜、灰尘、冷凝会改变空基准，因此基准必须按班次与洗栏后重测（见表 4 步骤 0）。</w:t>
      </w:r>
    </w:p>
    <w:p w14:paraId="6915B19E">
      <w:pPr>
        <w:numPr>
          <w:ilvl w:val="0"/>
          <w:numId w:val="2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门机构可靠性：</w:t>
      </w:r>
      <w:r>
        <w:rPr>
          <w:rFonts w:hint="eastAsia" w:ascii="宋体" w:hAnsi="宋体" w:eastAsia="宋体" w:cs="宋体"/>
          <w:color w:val="212121"/>
          <w:sz w:val="24"/>
        </w:rPr>
        <w:t>整个「双门关闭 ⇒ 单牛」推理依赖门位置反馈可信；门故障必须判 uncertain 而非默认关闭（与 §10.3 安全层一致）。</w:t>
      </w:r>
    </w:p>
    <w:p w14:paraId="1E6FC1C2">
      <w:pPr>
        <w:numPr>
          <w:ilvl w:val="0"/>
          <w:numId w:val="2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成本与工时：</w:t>
      </w:r>
      <w:r>
        <w:rPr>
          <w:rFonts w:hint="eastAsia" w:ascii="宋体" w:hAnsi="宋体" w:eastAsia="宋体" w:cs="宋体"/>
          <w:color w:val="212121"/>
          <w:sz w:val="24"/>
        </w:rPr>
        <w:t>人工确认时间已计入经济模型（§10.4 P26）；自动化后应按 P38 口径重测净工时，再更新回本期测算。</w:t>
      </w:r>
    </w:p>
    <w:p w14:paraId="174F31FC">
      <w:pPr>
        <w:pBdr>
          <w:top w:val="single" w:color="e0e0e0" w:sz="6" w:space="14"/>
        </w:pBdr>
        <w:spacing w:before="528" w:after="180" w:line="384"/>
        <w:jc w:val="left"/>
        <w:rPr>
          <w:color w:val="1a237e"/>
        </w:rPr>
      </w:pPr>
      <w:r>
        <w:rPr>
          <w:rFonts w:hint="eastAsia" w:ascii="黑体" w:hAnsi="黑体" w:eastAsia="黑体" w:cs="黑体"/>
          <w:b w:val="1"/>
          <w:color w:val="1a237e"/>
          <w:sz w:val="32"/>
        </w:rPr>
        <w:t>元信息</w:t>
      </w:r>
    </w:p>
    <w:p w14:paraId="28CB1A0B">
      <w:pPr>
        <w:numPr>
          <w:ilvl w:val="0"/>
          <w:numId w:val="1"/>
        </w:numPr>
        <w:pBdr>
          <w:top w:val="single" w:color="e0e0e0" w:sz="6" w:space="14"/>
          <w:left w:space="24"/>
        </w:pBdr>
        <w:spacing w:before="528"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目标读者：</w:t>
      </w:r>
      <w:r>
        <w:rPr>
          <w:rFonts w:hint="eastAsia" w:ascii="宋体" w:hAnsi="宋体" w:eastAsia="宋体" w:cs="宋体"/>
          <w:color w:val="212121"/>
          <w:sz w:val="24"/>
        </w:rPr>
        <w:t>ID-Coo 项目组内部成员（组员 1–5），用于就「单牛自动判定」达成共识</w:t>
      </w:r>
    </w:p>
    <w:p w14:paraId="545F3F71">
      <w:pPr>
        <w:numPr>
          <w:ilvl w:val="0"/>
          <w:numId w:val="1"/>
        </w:numPr>
        <w:pBdr>
          <w:top w:val="single" w:color="e0e0e0" w:sz="6" w:space="14"/>
          <w:left w:space="24"/>
        </w:pBdr>
        <w:spacing w:before="528"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前置知识：</w:t>
      </w:r>
      <w:r>
        <w:rPr>
          <w:rFonts w:hint="eastAsia" w:ascii="宋体" w:hAnsi="宋体" w:eastAsia="宋体" w:cs="宋体"/>
          <w:color w:val="212121"/>
          <w:sz w:val="24"/>
        </w:rPr>
        <w:t>ID-Coo 报告 §1、§5.2、§10.1–§10.7 内容；超声测距基本原理</w:t>
      </w:r>
    </w:p>
    <w:p w14:paraId="5C306EC2">
      <w:pPr>
        <w:numPr>
          <w:ilvl w:val="0"/>
          <w:numId w:val="1"/>
        </w:numPr>
        <w:pBdr>
          <w:top w:val="single" w:color="e0e0e0" w:sz="6" w:space="14"/>
          <w:left w:space="24"/>
        </w:pBdr>
        <w:spacing w:before="528"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引用来源：</w:t>
      </w:r>
      <w:r>
        <w:rPr>
          <w:rFonts w:hint="eastAsia" w:ascii="宋体" w:hAnsi="宋体" w:eastAsia="宋体" w:cs="宋体"/>
          <w:color w:val="212121"/>
          <w:sz w:val="24"/>
        </w:rPr>
        <w:t>稿中 [20] [29] Arrowquip 可调／分流通道产品页；[30] CIGR 2015 牛舍设计标准；[31] Cerqueira 2013（1,054 头实测）；[35] Banner 超声传感 101；[36] Pepperl+Fuchs 超声 FAQ；稿内 §10.1–§10.7 文本</w:t>
      </w:r>
    </w:p>
    <w:p w14:paraId="612BAB8D">
      <w:pPr>
        <w:numPr>
          <w:ilvl w:val="0"/>
          <w:numId w:val="1"/>
        </w:numPr>
        <w:pBdr>
          <w:top w:val="single" w:color="e0e0e0" w:sz="6" w:space="14"/>
          <w:left w:space="24"/>
        </w:pBdr>
        <w:spacing w:before="528"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文档性质：</w:t>
      </w:r>
      <w:r>
        <w:rPr>
          <w:rFonts w:hint="eastAsia" w:ascii="宋体" w:hAnsi="宋体" w:eastAsia="宋体" w:cs="宋体"/>
          <w:color w:val="212121"/>
          <w:sz w:val="24"/>
        </w:rPr>
        <w:t>内部讨论稿，不进入提交报告；若结论被采纳，正式正文仍须由负责同学在 Cadmus 中亲自录入</w:t>
      </w:r>
    </w:p>
    <w:p w14:paraId="10DEB9B5">
      <w:pPr>
        <w:numPr>
          <w:ilvl w:val="0"/>
          <w:numId w:val="1"/>
        </w:numPr>
        <w:pBdr>
          <w:top w:val="single" w:color="e0e0e0" w:sz="6" w:space="14"/>
          <w:left w:space="24"/>
        </w:pBdr>
        <w:spacing w:before="528" w:after="180" w:line="384"/>
        <w:jc w:val="both"/>
        <w:rPr>
          <w:color w:val="212121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宋体" w:hAnsi="宋体" w:eastAsia="宋体" w:cs="宋体"/>
          <w:b w:val="1"/>
          <w:color w:val="212121"/>
          <w:sz w:val="24"/>
        </w:rPr>
        <w:t>版本：</w:t>
      </w:r>
      <w:r>
        <w:rPr>
          <w:rFonts w:hint="eastAsia" w:ascii="宋体" w:hAnsi="宋体" w:eastAsia="宋体" w:cs="宋体"/>
          <w:color w:val="212121"/>
          <w:sz w:val="24"/>
        </w:rPr>
        <w:t>v1（2026-10-19），组员 4 整理</w:t>
      </w:r>
    </w:p>
    <w:p w14:paraId="0EE6ADCA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741FB13D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7" w:uiPriority="9" w:semiHidden="1" w:unhideWhenUsed="1" w:qFormat="1"/>
    <w:lsdException w:name="Body Text 3" w:semiHidden="1" w:unhideWhenUsed="1"/>
    <w:lsdException w:name="table of authorities" w:semiHidden="1" w:unhideWhenUsed="1"/>
    <w:lsdException w:name="table of figures" w:semiHidden="1" w:unhideWhenUsed="1"/>
    <w:lsdException w:name="List Bullet 4" w:semiHidden="1" w:unhideWhenUsed="1"/>
    <w:lsdException w:name="endnote reference" w:semiHidden="1" w:unhideWhenUsed="1"/>
    <w:lsdException w:name="index 5" w:semiHidden="1" w:unhideWhenUsed="1"/>
    <w:lsdException w:name="index heading" w:semiHidden="1" w:unhideWhenUsed="1"/>
    <w:lsdException w:name="index 8" w:semiHidden="1" w:unhideWhenUsed="1"/>
    <w:lsdException w:name="annotation reference" w:semiHidden="1" w:unhideWhenUsed="1"/>
    <w:lsdException w:name="toc 3" w:uiPriority="39" w:semiHidden="1" w:unhideWhenUsed="1"/>
    <w:lsdException w:name="Body Text" w:semiHidden="1" w:unhideWhenUsed="1"/>
    <w:lsdException w:name="heading 6" w:uiPriority="9" w:semiHidden="1" w:unhideWhenUsed="1" w:qFormat="1"/>
    <w:lsdException w:name="page number" w:semiHidden="1" w:unhideWhenUsed="1"/>
    <w:lsdException w:name="List Continue 4" w:semiHidden="1" w:unhideWhenUsed="1"/>
    <w:lsdException w:name="Signature" w:semiHidden="1" w:unhideWhenUsed="1"/>
    <w:lsdException w:name="caption" w:uiPriority="35" w:semiHidden="1" w:unhideWhenUsed="1" w:qFormat="1"/>
    <w:lsdException w:name="envelope return" w:semiHidden="1" w:unhideWhenUsed="1"/>
    <w:lsdException w:name="Salutation" w:semiHidden="1" w:unhideWhenUsed="1"/>
    <w:lsdException w:name="Body Text First Indent" w:semiHidden="1" w:unhideWhenUsed="1"/>
    <w:lsdException w:name="heading 2" w:uiPriority="9" w:semiHidden="1" w:unhideWhenUsed="1" w:qFormat="1"/>
    <w:lsdException w:name="FollowedHyperlink" w:semiHidden="1" w:unhideWhenUsed="1"/>
    <w:lsdException w:name="Default Paragraph Font" w:uiPriority="1" w:semiHidden="1" w:unhideWhenUsed="1"/>
    <w:lsdException w:name="index 7" w:semiHidden="1" w:unhideWhenUsed="1"/>
    <w:lsdException w:name="List Continue 3" w:semiHidden="1" w:unhideWhenUsed="1"/>
    <w:lsdException w:name="heading 8" w:uiPriority="9" w:semiHidden="1" w:unhideWhenUsed="1" w:qFormat="1"/>
    <w:lsdException w:name="toc 7" w:uiPriority="39" w:semiHidden="1" w:unhideWhenUsed="1"/>
    <w:lsdException w:name="List Number 2" w:semiHidden="1" w:unhideWhenUsed="1"/>
    <w:lsdException w:name="toc 6" w:uiPriority="39" w:semiHidden="1" w:unhideWhenUsed="1"/>
    <w:lsdException w:name="Strong" w:uiPriority="22" w:qFormat="1"/>
    <w:lsdException w:name="List 4" w:semiHidden="1" w:unhideWhenUsed="1"/>
    <w:lsdException w:name="Date" w:semiHidden="1" w:unhideWhenUsed="1"/>
    <w:lsdException w:name="toa heading" w:semiHidden="1" w:unhideWhenUsed="1"/>
    <w:lsdException w:name="List Bullet 2" w:semiHidden="1" w:unhideWhenUsed="1"/>
    <w:lsdException w:name="header" w:semiHidden="1" w:unhideWhenUsed="1"/>
    <w:lsdException w:name="List Number" w:semiHidden="1" w:unhideWhenUsed="1"/>
    <w:lsdException w:name="line number" w:semiHidden="1" w:unhideWhenUsed="1"/>
    <w:lsdException w:name="List Number 5" w:semiHidden="1" w:unhideWhenUsed="1"/>
    <w:lsdException w:name="Body Text 2" w:semiHidden="1" w:unhideWhenUsed="1"/>
    <w:lsdException w:name="Body Text First Indent 2" w:semiHidden="1" w:unhideWhenUsed="1"/>
    <w:lsdException w:name="toc 8" w:uiPriority="39" w:semiHidden="1" w:unhideWhenUsed="1"/>
    <w:lsdException w:name="List Bullet" w:semiHidden="1" w:unhideWhenUsed="1"/>
    <w:lsdException w:name="index 4" w:semiHidden="1" w:unhideWhenUsed="1"/>
    <w:lsdException w:name="annotation text" w:semiHidden="1" w:unhideWhenUsed="1"/>
    <w:lsdException w:name="Note Heading" w:semiHidden="1" w:unhideWhenUsed="1"/>
    <w:lsdException w:name="List Continue 5" w:semiHidden="1" w:unhideWhenUsed="1"/>
    <w:lsdException w:name="index 2" w:semiHidden="1" w:unhideWhenUsed="1"/>
    <w:lsdException w:name="heading 5" w:uiPriority="9" w:semiHidden="1" w:unhideWhenUsed="1" w:qFormat="1"/>
    <w:lsdException w:name="endnote text" w:semiHidden="1" w:unhideWhenUsed="1"/>
    <w:lsdException w:name="toc 2" w:uiPriority="39" w:semiHidden="1" w:unhideWhenUsed="1"/>
    <w:lsdException w:name="List Bullet 5" w:semiHidden="1" w:unhideWhenUsed="1"/>
    <w:lsdException w:name="List 5" w:semiHidden="1" w:unhideWhenUsed="1"/>
    <w:lsdException w:name="footnote reference" w:semiHidden="1" w:unhideWhenUsed="1"/>
    <w:lsdException w:name="List Number 4" w:semiHidden="1" w:unhideWhenUsed="1"/>
    <w:lsdException w:name="envelope address" w:semiHidden="1" w:unhideWhenUsed="1"/>
    <w:lsdException w:name="List Bullet 3" w:semiHidden="1" w:unhideWhenUsed="1"/>
    <w:lsdException w:name="footer" w:semiHidden="1" w:unhideWhenUsed="1"/>
    <w:lsdException w:name="heading 9" w:uiPriority="9" w:semiHidden="1" w:unhideWhenUsed="1" w:qFormat="1"/>
    <w:lsdException w:name="Body Text Indent" w:semiHidden="1" w:unhideWhenUsed="1"/>
    <w:lsdException w:name="footnote text" w:semiHidden="1" w:unhideWhenUsed="1"/>
    <w:lsdException w:name="Body Text Indent 2" w:semiHidden="1" w:unhideWhenUsed="1"/>
    <w:lsdException w:name="heading 4" w:uiPriority="9" w:semiHidden="1" w:unhideWhenUsed="1" w:qFormat="1"/>
    <w:lsdException w:name="Subtitle" w:uiPriority="11" w:qFormat="1"/>
    <w:lsdException w:name="Closing" w:semiHidden="1" w:unhideWhenUsed="1"/>
    <w:lsdException w:name="List" w:semiHidden="1" w:unhideWhenUsed="1"/>
    <w:lsdException w:name="toc 5" w:uiPriority="39" w:semiHidden="1" w:unhideWhenUsed="1"/>
    <w:lsdException w:name="Title" w:uiPriority="10" w:qFormat="1"/>
    <w:lsdException w:name="index 6" w:semiHidden="1" w:unhideWhenUsed="1"/>
    <w:lsdException w:name="heading 1" w:uiPriority="9" w:qFormat="1"/>
    <w:lsdException w:name="Block Text" w:semiHidden="1" w:unhideWhenUsed="1"/>
    <w:lsdException w:name="macro" w:semiHidden="1" w:unhideWhenUsed="1"/>
    <w:lsdException w:name="heading 3" w:uiPriority="9" w:semiHidden="1" w:unhideWhenUsed="1" w:qFormat="1"/>
    <w:lsdException w:name="index 3" w:semiHidden="1" w:unhideWhenUsed="1"/>
    <w:lsdException w:name="Normal" w:uiPriority="0" w:qFormat="1"/>
    <w:lsdException w:name="Hyperlink" w:semiHidden="1" w:unhideWhenUsed="1"/>
    <w:lsdException w:name="List 3" w:semiHidden="1" w:unhideWhenUsed="1"/>
    <w:lsdException w:name="toc 4" w:uiPriority="39" w:semiHidden="1" w:unhideWhenUsed="1"/>
    <w:lsdException w:name="Body Text Indent 3" w:semiHidden="1" w:unhideWhenUsed="1"/>
    <w:lsdException w:name="index 1" w:semiHidden="1" w:unhideWhenUsed="1"/>
    <w:lsdException w:name="index 9" w:semiHidden="1" w:unhideWhenUsed="1"/>
    <w:lsdException w:name="Normal Indent" w:semiHidden="1" w:unhideWhenUsed="1"/>
    <w:lsdException w:name="List 2" w:semiHidden="1" w:unhideWhenUsed="1"/>
    <w:lsdException w:name="Message Header" w:semiHidden="1" w:unhideWhenUsed="1"/>
    <w:lsdException w:name="List Continue" w:semiHidden="1" w:unhideWhenUsed="1"/>
    <w:lsdException w:name="List Number 3" w:semiHidden="1" w:unhideWhenUsed="1"/>
    <w:lsdException w:name="toc 1" w:uiPriority="39" w:semiHidden="1" w:unhideWhenUsed="1"/>
    <w:lsdException w:name="toc 9" w:uiPriority="39" w:semiHidden="1" w:unhideWhenUsed="1"/>
    <w:lsdException w:name="List Continue 2" w:semiHidden="1" w:unhideWhenUsed="1"/>
  </w:latentStyles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2026-10-19T23:14:17Z</dcterms:created>
  <dcterms:modified xsi:type="dcterms:W3CDTF">2026-10-19T23:14:17Z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"01a154b435737471a81fd8f0e1eae9f6", "ReservedCode1": "", "ContentPropagator": "00119111010856365494821B355", "PropagateID": "01a154b435737471a81fd8f0e1eae9f6", "ReservedCode2": ""}}</vt:lpwstr>
  </property>
</Properties>
</file>