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3E15B6A5">
      <w:pPr>
        <w:spacing w:after="288" w:line="384"/>
        <w:jc w:val="left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19"/>
          <w:sz w:val="21"/>
        </w:rPr>
        <w:t>ID-Coo 项目 · 组内技术备忘</w:t>
      </w:r>
    </w:p>
    <w:p w14:paraId="218005DE">
      <w:pPr>
        <w:spacing w:after="180" w:line="312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40"/>
        </w:rPr>
        <w:t>单牛自动判定与例外处理技术方案</w:t>
      </w:r>
    </w:p>
    <w:p w14:paraId="6F801B21">
      <w:pPr>
        <w:spacing w:after="528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6"/>
        </w:rPr>
        <w:t>v2 · 全自动版 —— 机器判定单牛，人工只处理例外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212121"/>
        <w:tblLayout w:type="autofit"/>
        <w:tblCellMar/>
      </w:tblPr>
      <w:tblGrid>
        <w:gridCol w:w="1993"/>
        <w:gridCol w:w="1993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fffff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ADB3EF">
            <w:pPr>
              <w:jc w:val="left"/>
              <w:rPr>
                <w:b w:val="1"/>
                <w:bCs w:val="1"/>
                <w:color w:val="616161"/>
              </w:rPr>
            </w:pPr>
            <w:r>
              <w:rPr>
                <w:rFonts w:hint="eastAsia" w:ascii="宋体" w:hAnsi="宋体" w:eastAsia="宋体" w:cs="宋体"/>
                <w:b w:val="1"/>
                <w:color w:val="616161"/>
                <w:sz w:val="21"/>
              </w:rPr>
              <w:t>项目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fffff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49232D">
            <w:pPr>
              <w:jc w:val="left"/>
              <w:rPr>
                <w:b w:val="1"/>
                <w:bCs w:val="1"/>
                <w:color w:val="616161"/>
              </w:rPr>
            </w:pPr>
            <w:r>
              <w:rPr>
                <w:rFonts w:hint="eastAsia" w:ascii="宋体" w:hAnsi="宋体" w:eastAsia="宋体" w:cs="宋体"/>
                <w:b w:val="1"/>
                <w:color w:val="616161"/>
                <w:sz w:val="21"/>
              </w:rPr>
              <w:t>内容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D722B9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文档性质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1E4212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内部讨论稿，不进入提交报告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6E513E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版本 / 日期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CB1F42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v2 · 2026-10-20（取代 v1）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4CB57FE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整理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B2D45D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组员 4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26CA2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目标读者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F729BE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ID-Coo 项目组内部成员（组员 1–5）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DF320A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用途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3933AA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就「全自动单牛判定」统一口径并达成共识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BADC3C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关联稿件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B5EDA8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21"/>
              </w:rPr>
              <w:t>10.19 整合稿 §1、§5.2、§10.1–§10.7、§9</w:t>
            </w:r>
          </w:p>
        </w:tc>
      </w:tr>
    </w:tbl>
    <w:p w14:paraId="5496497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E3EA433">
      <w:pPr>
        <w:spacing w:before="240" w:after="120"/>
      </w:pPr>
      <w:r>
        <w:rPr>
          <w:rFonts w:hint="eastAsia"/>
          <w:b w:val="1"/>
        </w:rPr>
        <w:t>目录</w:t>
      </w:r>
    </w:p>
    <w:p w14:paraId="0A57438F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一、口径变更与影响面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1AD8F6F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二、判定逻辑与尺寸约束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93923D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（一）三条件核心逻辑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803574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（二）尺寸约束（用最小值，不用均值）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005054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三、设备清单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E749A7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四、全自动判定流程（每头牛一次）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3E8419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五、判定数据、阈值与例外率预算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49AD0B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（一）判定特征与阈值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13B122">
      <w:pPr>
        <w:pStyle w:val="000006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（二）例外率预算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32ACD9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六、四项硬约束（设计红线）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4E8ECF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七、例外处理：人工到底管什么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9FEA61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八、经济性影响与需重算的指标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6C5709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九、需同步的稿件段落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E4D3B2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十、残余风险与适用边界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48C7D8">
      <w:pPr>
        <w:pStyle w:val="000008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"section-meta" </w:instrText>
      </w:r>
      <w:r>
        <w:fldChar w:fldCharType="separate" w:fldLock="0" w:dirty="0"/>
      </w:r>
      <w:r>
        <w:rPr>
          <w:rFonts w:hint="eastAsia"/>
        </w:rPr>
        <w:t>元信息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section-meta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2B23FE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val="clear" w:fill="1565c0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5B46B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黑体" w:hAnsi="黑体" w:eastAsia="黑体" w:cs="黑体"/>
                <w:b w:val="1"/>
                <w:color w:val="ffffff"/>
                <w:sz w:val="26"/>
              </w:rPr>
              <w:t>核心结论（TL;DR）</w:t>
            </w:r>
          </w:p>
        </w:tc>
      </w:tr>
      <w:tr>
        <w:trPr/>
        <w:tc>
          <w:tcPr>
            <w:tcW w:w="8306" w:type="dxa"/>
            <w:tcBorders>
              <w:left w:val="single" w:color="1565c0" w:sz="24"/>
              <w:bottom w:val="single" w:color="e0e0e0" w:sz="6"/>
              <w:right w:val="single" w:color="e0e0e0" w:sz="6"/>
            </w:tcBorders>
            <w:shd w:val="clear" w:fill="f5f7fa"/>
            <w:tcMar>
              <w:top w:w="288" w:type="dxa"/>
              <w:left w:w="288" w:type="dxa"/>
              <w:bottom w:w="288" w:type="dxa"/>
              <w:right w:w="288" w:type="dxa"/>
            </w:tcMar>
            <w:vAlign w:val="center"/>
          </w:tcPr>
          <w:p w14:paraId="35C94BC3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统一后的口径：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取消人工进栏确认，单牛判定完全由机器完成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；人工只处理机器分拣出来的例外牛，不再参与常规通行。</w:t>
            </w:r>
          </w:p>
          <w:p w14:paraId="77D9B65E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超声负责「有牛、位置、轮廓、通行」，不负责计数；「只有一头」由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尺寸约束 + 双门关闭 + 两端波束覆盖与通行时长模板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三者共同推出。全篇不再区分 Version 1 / Version 2。</w:t>
            </w:r>
          </w:p>
          <w:p w14:paraId="5DB9ECB6">
            <w:pPr>
              <w:spacing w:before="72" w:after="72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该口径可行的前提是四项硬约束——安全层前置、尺寸用最小值、例外率预算、漏判兜底。取消人工确认并未消除风险，只是把它从「人漏看」转移为「机器漏判」，须由这四条红线承接。</w:t>
            </w:r>
          </w:p>
        </w:tc>
      </w:tr>
    </w:tbl>
    <w:p w14:paraId="064B5F6D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2"/>
        </w:rPr>
        <w:t>一、口径变更与影响面</w:t>
      </w:r>
      <w:bookmarkEnd w:id="1"/>
    </w:p>
    <w:p w14:paraId="3681843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本节先明确「改了什么」，避免组内出现两套并行的说法。</w:t>
      </w:r>
    </w:p>
    <w:p w14:paraId="0224ED9F">
      <w:pPr>
        <w:jc w:val="center"/>
      </w:pPr>
      <w:r>
        <w:rPr>
          <w:rFonts w:hint="eastAsia"/>
          <w:color w:val="888888"/>
          <w:sz w:val="18"/>
        </w:rPr>
        <w:t>表 1　口径变更对照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2990"/>
        <w:gridCol w:w="3655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3E542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变更项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43CB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v1（旧口径）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4EE3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v2（本方案）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B9BC4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单牛判定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CBAA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人工确认 A 段内仅一头，才放行进 B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7249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机器自动判定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，无人参与常规通行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11C9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人工职责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B640E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每头牛进栏确认 + 例外处理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C6F17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仅例外复核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（见第七章）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E528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版本表述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1241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Version 1（人工确认）/ Version 2（自动进栏）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FCA72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单一版本，不再分版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95D3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经济性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27236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人工确认时间计入成本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8FB4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净工时按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例外率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重算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009C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主要风险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F2E45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人漏看、效率低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5A56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机器漏判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（双牛判为一牛），需兜底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CBCF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稿件同步</w:t>
            </w:r>
          </w:p>
        </w:tc>
        <w:tc>
          <w:tcPr>
            <w:tcW w:w="299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3F5C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§10.4「Version 1 retains staff confirmation…」</w:t>
            </w:r>
          </w:p>
        </w:tc>
        <w:tc>
          <w:tcPr>
            <w:tcW w:w="365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164A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该句须重写（见第九章）</w:t>
            </w:r>
          </w:p>
        </w:tc>
      </w:tr>
    </w:tbl>
    <w:p w14:paraId="3801F369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5f7fa"/>
            <w:vAlign w:val="center"/>
          </w:tcPr>
          <w:p w14:paraId="502AD5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必须说明：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取消人工确认并没有让风险消失，只是把它从「人漏看」转移为「机器漏判」。因此本方案用四道硬约束（第六章）和进/出计数对账（P4）来承接这个转移过来的风险，而不是宣称风险已消除。</w:t>
            </w:r>
          </w:p>
        </w:tc>
      </w:tr>
    </w:tbl>
    <w:p w14:paraId="1EE4398D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a237e"/>
          <w:sz w:val="32"/>
        </w:rPr>
        <w:t>二、判定逻辑与尺寸约束</w:t>
      </w:r>
      <w:bookmarkEnd w:id="2"/>
    </w:p>
    <w:p w14:paraId="0CC88AC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「只有一头」这个结论不是任何单个传感器给出的，而是尺寸、门联锁与轮廓三者同时成立时的推论。</w:t>
      </w:r>
    </w:p>
    <w:p w14:paraId="506D6974">
      <w:pPr>
        <w:pStyle w:val="00000c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3" w:name="section-2-1"/>
      <w:r>
        <w:rPr>
          <w:rFonts w:hint="eastAsia" w:ascii="黑体" w:hAnsi="黑体" w:eastAsia="黑体" w:cs="黑体"/>
          <w:b w:val="1"/>
          <w:color w:val="1565c0"/>
          <w:sz w:val="26"/>
        </w:rPr>
        <w:t>（一）三条件核心逻辑</w:t>
      </w:r>
      <w:bookmarkEnd w:id="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4E7880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① B 段尺寸装不下两头 + ② G1／G2 两端门均关闭 + ③ 两端波束覆盖与通行时长符合单牛模板 ⇒ B 内恰好一头</w:t>
            </w:r>
          </w:p>
        </w:tc>
      </w:tr>
    </w:tbl>
    <w:p w14:paraId="59CE74AE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尺寸</w:t>
      </w:r>
      <w:r>
        <w:rPr>
          <w:rFonts w:hint="eastAsia" w:ascii="宋体" w:hAnsi="宋体" w:eastAsia="宋体" w:cs="宋体"/>
          <w:color w:val="212121"/>
          <w:sz w:val="24"/>
        </w:rPr>
        <w:t>把「两头」从物理上排除掉，是最硬的一环；</w:t>
      </w:r>
    </w:p>
    <w:p w14:paraId="16BB840B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双门关闭</w:t>
      </w:r>
      <w:r>
        <w:rPr>
          <w:rFonts w:hint="eastAsia" w:ascii="宋体" w:hAnsi="宋体" w:eastAsia="宋体" w:cs="宋体"/>
          <w:color w:val="212121"/>
          <w:sz w:val="24"/>
        </w:rPr>
        <w:t>把牛限制在 B 内，使尺寸条件生效；</w:t>
      </w:r>
    </w:p>
    <w:p w14:paraId="39E469E8">
      <w:pPr>
        <w:numPr>
          <w:ilvl w:val="0"/>
          <w:numId w:val="1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超声轮廓</w:t>
      </w:r>
      <w:r>
        <w:rPr>
          <w:rFonts w:hint="eastAsia" w:ascii="宋体" w:hAnsi="宋体" w:eastAsia="宋体" w:cs="宋体"/>
          <w:color w:val="212121"/>
          <w:sz w:val="24"/>
        </w:rPr>
        <w:t>做二次校验，捕捉贴卧、急退等尺寸条件覆盖不到的情形。</w:t>
      </w:r>
    </w:p>
    <w:p w14:paraId="1D2F0B7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超声在这一步的角色是「有牛 + 位置 + 轮廓 + 通行」，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不是计数</w:t>
      </w:r>
      <w:r>
        <w:rPr>
          <w:rFonts w:hint="eastAsia" w:ascii="宋体" w:hAnsi="宋体" w:eastAsia="宋体" w:cs="宋体"/>
          <w:color w:val="212121"/>
          <w:sz w:val="24"/>
        </w:rPr>
        <w:t>——单点测距会被遮挡，一个回声证明不了只有一头（§10.2 原文）。所以顺序不能颠倒：先用尺寸排除，再用轮廓校验。</w:t>
      </w:r>
    </w:p>
    <w:p w14:paraId="5326CA2F">
      <w:pPr>
        <w:pStyle w:val="00000c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4" w:name="section-2-2"/>
      <w:r>
        <w:rPr>
          <w:rFonts w:hint="eastAsia" w:ascii="黑体" w:hAnsi="黑体" w:eastAsia="黑体" w:cs="黑体"/>
          <w:b w:val="1"/>
          <w:color w:val="1565c0"/>
          <w:sz w:val="26"/>
        </w:rPr>
        <w:t>（二）尺寸约束（用最小值，不用均值）</w:t>
      </w:r>
      <w:bookmarkEnd w:id="4"/>
    </w:p>
    <w:p w14:paraId="4F80B588">
      <w:pPr>
        <w:jc w:val="center"/>
      </w:pPr>
      <w:r>
        <w:rPr>
          <w:rFonts w:hint="eastAsia"/>
          <w:color w:val="888888"/>
          <w:sz w:val="18"/>
        </w:rPr>
        <w:t>表 2　尺寸约束推导（数据来源均为稿中已引文献）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2491"/>
        <w:gridCol w:w="1495"/>
        <w:gridCol w:w="2327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C25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参数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FBB88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数据来源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83568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取值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CA246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推出结论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A427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目标品种体长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最小值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48B89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Cerqueira 2013 报均值 1.708 m [31]；最小值按目标品种保守假设 1.45 m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B3F38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1.45 m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1DA22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两头首尾相接需 ≥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2.90 m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969A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段设计内长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1E751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本方案建议值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B6255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2.50 m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0147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2.50 小于 2.90，首尾两头装不下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80FF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奶牛胸宽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B3356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CIGR 2015，稿中 [30]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84A79E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0.60 m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C8E2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两头并排需 ≥ 1.20 m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A45B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通道净宽（可调 alley）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80D9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Arrowquip，稿中 [20] [29]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513F5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526–800 mm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C01DC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1.20 超出 0.80 上限，并排装不下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074F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肩高（定顶视探头高度）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BAC44D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CIGR [30]</w:t>
            </w:r>
          </w:p>
        </w:tc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ED296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1.44 m</w:t>
            </w:r>
          </w:p>
        </w:tc>
        <w:tc>
          <w:tcPr>
            <w:tcW w:w="23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48AD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顶视探头宜 1.8–2.0 m</w:t>
            </w:r>
          </w:p>
        </w:tc>
      </w:tr>
    </w:tbl>
    <w:p w14:paraId="2E3A348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5f7fa"/>
            <w:vAlign w:val="center"/>
          </w:tcPr>
          <w:p w14:paraId="18BE3C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Cerqueira 给的是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均值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，而尺寸红线必须由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最小值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决定——决定「能否装下两头」的是最短的那头牛，不是平均身材。1.45 m 为保守假设值，须以目标场实测体长分布确认；若实测最小值更小，B 段长度须相应压缩（B 段内长须小于两倍体长最小值）。§10.1 P6 已告诫「a standard module does not necessarily hold one cow」，该约束必须逐场确认。</w:t>
            </w:r>
          </w:p>
        </w:tc>
      </w:tr>
    </w:tbl>
    <w:p w14:paraId="4B6EAFDA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5" w:name="section-3"/>
      <w:r>
        <w:rPr>
          <w:rFonts w:hint="eastAsia" w:ascii="黑体" w:hAnsi="黑体" w:eastAsia="黑体" w:cs="黑体"/>
          <w:b w:val="1"/>
          <w:color w:val="1a237e"/>
          <w:sz w:val="32"/>
        </w:rPr>
        <w:t>三、设备清单</w:t>
      </w:r>
      <w:bookmarkEnd w:id="5"/>
    </w:p>
    <w:p w14:paraId="664A0A7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规格为建议值，需按厂商样本与现场实测确定；§10.2 已声明「Six points are provisional」。</w:t>
      </w:r>
    </w:p>
    <w:p w14:paraId="43C84247">
      <w:pPr>
        <w:jc w:val="center"/>
      </w:pPr>
      <w:r>
        <w:rPr>
          <w:rFonts w:hint="eastAsia"/>
          <w:color w:val="888888"/>
          <w:sz w:val="18"/>
        </w:rPr>
        <w:t>表 3　传感设备、安全层与安装</w:t>
      </w:r>
    </w:p>
    <w:tbl>
      <w:tblPr>
        <w:tblW w:w="8306" w:type="dxa"/>
        <w:shd w:color="212121"/>
        <w:tblLayout w:type="autofit"/>
        <w:tblCellMar/>
      </w:tblPr>
      <w:tblGrid>
        <w:gridCol w:w="1079"/>
        <w:gridCol w:w="2408"/>
        <w:gridCol w:w="2159"/>
        <w:gridCol w:w="2660"/>
      </w:tblGrid>
      <w:tr>
        <w:trPr>
          <w:tblHeader w:val="1"/>
        </w:trPr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F550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编号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8F78B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设备与建议规格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3E0C5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安装位置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DF8DD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作用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826852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U-B1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5E4DED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超声探头，量程 200–300 cm，窄波束 10–15°，采样 40–60 Hz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A7BC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段入口（G1 内侧上方约 1.8–2.0 m，顶视）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363C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入口占位触发：牛进入 B 段即触发，作为关闭 G1 的依据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BE1BF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U-B2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DD83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4BF51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段出口（G2 内侧上方同高，顶视）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B4850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出口占位触发：与 U-B1 合计通行时长，并确认 B 段清空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B1748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U-N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4DAE6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A49C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正常回转通道（D 之后）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830F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实际出口确认：牛已进入正常回转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3ADC2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U-E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5ABE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同上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4824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复核支路（H 之后）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59755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实际出口确认：牛已进入复核支路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E7F0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安全层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E6A9B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独立于 PLC 的安全相关控制 + 机械防护 + 已验证阻碍响应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控制柜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AA595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可独立停止或抑制门驱动；超声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不能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独立提供防夹</w:t>
            </w:r>
          </w:p>
        </w:tc>
      </w:tr>
      <w:tr>
        <w:trPr/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2C7D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同步单元</w:t>
            </w:r>
          </w:p>
        </w:tc>
        <w:tc>
          <w:tcPr>
            <w:tcW w:w="240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5487F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各探头交错发射（staggered），时隙错开 2–5 ms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5F7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控制柜</w:t>
            </w:r>
          </w:p>
        </w:tc>
        <w:tc>
          <w:tcPr>
            <w:tcW w:w="26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031D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抑制串扰（稿中 [36]）</w:t>
            </w:r>
          </w:p>
        </w:tc>
      </w:tr>
    </w:tbl>
    <w:p w14:paraId="0DCA32C9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6" w:name="section-4"/>
      <w:r>
        <w:rPr>
          <w:rFonts w:hint="eastAsia" w:ascii="黑体" w:hAnsi="黑体" w:eastAsia="黑体" w:cs="黑体"/>
          <w:b w:val="1"/>
          <w:color w:val="1a237e"/>
          <w:sz w:val="32"/>
        </w:rPr>
        <w:t>四、全自动判定流程（每头牛一次）</w:t>
      </w:r>
      <w:bookmarkEnd w:id="6"/>
    </w:p>
    <w:p w14:paraId="7FFE48FE">
      <w:pPr>
        <w:pStyle w:val="00000d"/>
        <w:rPr>
          <w:rFonts w:hint="eastAsia" w:ascii="宋体" w:hAnsi="宋体" w:eastAsia="宋体" w:cs="宋体"/>
          <w:color w:val="212121"/>
          <w:sz w:val="24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出口确认必须由超声 + 门反馈共同完成（§10.4 原文「Sensors and gate </w:t>
      </w:r>
    </w:p>
    <w:tbl>
      <w:tblPr>
        <w:tblStyle w:val="000009"/>
        <w:tblLayout w:type="fixed"/>
      </w:tblPr>
      <w:tblGrid>
        <w:gridCol w:w="8280"/>
      </w:tblGrid>
      <w:tr>
        <w:trPr/>
        <w:tc>
          <w:tcPr>
            <w:tcW w:w="8280" w:type="dxa"/>
            <w:tcBorders>
              <w:top w:val="none"/>
              <w:left w:val="single" w:color="1565C0" w:sz="24"/>
              <w:bottom w:val="none"/>
              <w:right w:val="none"/>
            </w:tcBorders>
            <w:shd w:val="clear" w:fill="F5F7FA"/>
            <w:vAlign w:val="center"/>
          </w:tcPr>
          <w:p w14:paraId="15BA7C26">
            <w:pPr>
              <w:rPr>
                <w:rFonts w:hint="eastAsia" w:ascii="宋体" w:hAnsi="宋体" w:eastAsia="宋体" w:cs="宋体"/>
                <w:color w:val="212121"/>
                <w:sz w:val="24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</w:rPr>
              <w:t>传感布局精简为四点：</w:t>
            </w:r>
            <w:r>
              <w:rPr>
                <w:rFonts w:hint="eastAsia" w:ascii="宋体" w:hAnsi="宋体" w:eastAsia="宋体" w:cs="宋体"/>
                <w:color w:val="212121"/>
              </w:rPr>
              <w:t>B 段进出各一个（U-B1／U-B2），正常回转与复核支路各一个（U-N／U-E）。被裁撤三点的职责去向——U-N 的邻标签监测由「窗口内不同 EID 读数」判据承接；U-Q／U-IN 的防跟随由「G1 关闭期间 B 段物理隔离 + 分支传感确认清空后才放行下一头」承接；U-A 的占位检测由「有界窗口 + 安全层阻碍响应」承接，该环节不属身份关键链路，失败模式是多一个例外或损失数秒，不会造成错误身份。整合稿 §10.2 的六点枚举需同步改为四点（见第九章表 10）。</w:t>
            </w:r>
          </w:p>
        </w:tc>
      </w:tr>
    </w:tbl>
    <w:p w14:paraId="4C6589C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feedback confirm exit; a timer alone cannot」），这也是 planned exit 与 actual exit 对账的数据来源。重启时控制器须先校验门位置与占位，再决定放行或清空赛道（§10.3），不得直接恢复被中断的动作。</w:t>
      </w:r>
    </w:p>
    <w:p w14:paraId="734FC6B4">
      <w:pPr>
        <w:jc w:val="center"/>
      </w:pPr>
      <w:r>
        <w:rPr>
          <w:rFonts w:hint="eastAsia"/>
          <w:color w:val="888888"/>
          <w:sz w:val="18"/>
        </w:rPr>
        <w:t>表 4　全自动单牛判定流程（无人工进栏确认）</w:t>
      </w:r>
    </w:p>
    <w:tbl>
      <w:tblPr>
        <w:tblW w:w="8306" w:type="dxa"/>
        <w:shd w:color="212121"/>
        <w:tblLayout w:type="autofit"/>
        <w:tblCellMar/>
      </w:tblPr>
      <w:tblGrid>
        <w:gridCol w:w="1245"/>
        <w:gridCol w:w="3322"/>
        <w:gridCol w:w="3739"/>
      </w:tblGrid>
      <w:tr>
        <w:trPr>
          <w:tblHeader w:val="1"/>
        </w:trPr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6E577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步骤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8EE7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动作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25FC1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判据 / 失败处理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4AC4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0　开班校准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3805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各点测空赛道基准（§10.2 P14 baseline）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3E7C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洗栏后必须重测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3494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　牛进 A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F801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G0 开启有界窗口放入一头；A 为单牛容量，G0 关闭后由几何隔离（A 段不设传感，见表 3 注）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CBFCD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窗口超时视为 A 空 → 开 G0 放入下一头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E6AC6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2　机器判定单牛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AD651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G1 开启入场窗口 → U-B1 触发 → 关 G1；尺寸约束 + 门序判定 B 内仅一头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64FA6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U-B1 未触发 → 窗口超时，关 G1 重试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93BB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　进 B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C81A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G0 关、G1 开，牛进入 B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3D9CD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A5A5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　关门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64E70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U-B1 触发后关 G1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65A0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未触发 → 停止，检查探头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24AE85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　扫描窗口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FE48F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G1、G2 均关闭；U-B1／U-B2 至少一个在位（波束覆盖规则）确认占位；采集通行时长 + EID 读数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8F5B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数据缺失 → uncertain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91331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　融合判定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386D6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按表 5 阈值逐项判定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5816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任一项 fail → D 分流至复核栏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FA60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7　放行与出口确认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F4981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通过 → 接受身份、D 定位、G2 开；U-N／U-E 分支传感 + 门反馈确认实际出口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AA33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 planned exit 不一致 → 记例外</w:t>
            </w:r>
          </w:p>
        </w:tc>
      </w:tr>
      <w:tr>
        <w:trPr/>
        <w:tc>
          <w:tcPr>
            <w:tcW w:w="12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949BC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8　计数对账</w:t>
            </w:r>
          </w:p>
        </w:tc>
        <w:tc>
          <w:tcPr>
            <w:tcW w:w="33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7DD0A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进入数与外出数逐头核对</w:t>
            </w:r>
          </w:p>
        </w:tc>
        <w:tc>
          <w:tcPr>
            <w:tcW w:w="373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DE39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不平 → 立即停线排查（P4 兜底）</w:t>
            </w:r>
          </w:p>
        </w:tc>
      </w:tr>
    </w:tbl>
    <w:p w14:paraId="25C87F10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7" w:name="section-5"/>
      <w:r>
        <w:rPr>
          <w:rFonts w:hint="eastAsia" w:ascii="黑体" w:hAnsi="黑体" w:eastAsia="黑体" w:cs="黑体"/>
          <w:b w:val="1"/>
          <w:color w:val="1a237e"/>
          <w:sz w:val="32"/>
        </w:rPr>
        <w:t>五、判定数据、阈值与例外率预算</w:t>
      </w:r>
      <w:bookmarkEnd w:id="7"/>
    </w:p>
    <w:p w14:paraId="596D59A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每个探头输出 40–60 Hz 距离流并衍生判定特征；阈值均为建议初值，必须由试验标定，不在稿中写死。</w:t>
      </w:r>
    </w:p>
    <w:p w14:paraId="15C85AF0">
      <w:pPr>
        <w:pStyle w:val="00000c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8" w:name="section-5-1"/>
      <w:r>
        <w:rPr>
          <w:rFonts w:hint="eastAsia" w:ascii="黑体" w:hAnsi="黑体" w:eastAsia="黑体" w:cs="黑体"/>
          <w:b w:val="1"/>
          <w:color w:val="1565c0"/>
          <w:sz w:val="26"/>
        </w:rPr>
        <w:t>（一）判定特征与阈值</w:t>
      </w:r>
      <w:bookmarkEnd w:id="8"/>
    </w:p>
    <w:p w14:paraId="4CC82B05">
      <w:pPr>
        <w:jc w:val="center"/>
      </w:pPr>
      <w:r>
        <w:rPr>
          <w:rFonts w:hint="eastAsia"/>
          <w:color w:val="888888"/>
          <w:sz w:val="18"/>
        </w:rPr>
        <w:t>表 5　判定特征与建议阈值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2824"/>
        <w:gridCol w:w="3489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34EB1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特征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F9F82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判据（建议初值）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8152E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失败含义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02B2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占用状态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4854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empty / occupied / uncertain，带迟滞防抖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9EDE8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无回声、数据过期、探头故障 → uncertain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02B272">
            <w:pPr>
              <w:jc w:val="left"/>
              <w:rPr>
                <w:rFonts w:hint="eastAsia" w:ascii="宋体" w:hAnsi="宋体" w:eastAsia="宋体" w:cs="宋体"/>
                <w:color w:val="212121"/>
                <w:sz w:val="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双点覆盖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48542B">
            <w:pPr>
              <w:jc w:val="left"/>
              <w:rPr>
                <w:rFonts w:hint="eastAsia" w:ascii="宋体" w:hAnsi="宋体" w:eastAsia="宋体" w:cs="宋体"/>
                <w:color w:val="212121"/>
                <w:sz w:val="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U-B1、U-B2 至少一个在位；两端波束带之间无覆盖段 0.9 m 短于最短体长 1.45 m，牛无法藏在两波束之间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9EDE8E">
            <w:pPr>
              <w:jc w:val="left"/>
              <w:rPr>
                <w:rFonts w:hint="eastAsia" w:ascii="宋体" w:hAnsi="宋体" w:eastAsia="宋体" w:cs="宋体"/>
                <w:color w:val="212121"/>
                <w:sz w:val="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扫描窗口内两点均空 → uncertain，转人工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8815B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通行时长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5586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4–12 s（U-B1 触发至 U-B2 触发）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4A87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接近翻倍 → 疑两头首尾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CA7F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读信号强度与读数一致性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82E4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窗口内读信号强度稳定，且不同 EID 读数一致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7E11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强度异常或读数不一致 → 读距不可比，判 uncertain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2773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窗口内不同 EID 读数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C10FB9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= 1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8362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大于 1 → 邻标签误读，判 uncertain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03E2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出口确认</w:t>
            </w:r>
          </w:p>
        </w:tc>
        <w:tc>
          <w:tcPr>
            <w:tcW w:w="282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9166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U-N／U-E 与门反馈一致</w:t>
            </w:r>
          </w:p>
        </w:tc>
        <w:tc>
          <w:tcPr>
            <w:tcW w:w="348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0E608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不一致 → 记例外，与 planned exit 对账</w:t>
            </w:r>
          </w:p>
        </w:tc>
      </w:tr>
    </w:tbl>
    <w:p w14:paraId="1D584EEB">
      <w:pPr>
        <w:pStyle w:val="00000c"/>
        <w:keepNext w:val="1"/>
        <w:keepLines w:val="1"/>
        <w:spacing w:before="288" w:beforeAutospacing="1" w:after="180" w:afterAutospacing="1" w:line="384"/>
        <w:jc w:val="left"/>
        <w:outlineLvl w:val="2"/>
        <w:rPr>
          <w:color w:val="1565c0"/>
          <w:sz w:val="32"/>
          <w:szCs w:val="32"/>
        </w:rPr>
      </w:pPr>
      <w:bookmarkStart w:id="9" w:name="section-5-2"/>
      <w:r>
        <w:rPr>
          <w:rFonts w:hint="eastAsia" w:ascii="黑体" w:hAnsi="黑体" w:eastAsia="黑体" w:cs="黑体"/>
          <w:b w:val="1"/>
          <w:color w:val="1565c0"/>
          <w:sz w:val="26"/>
        </w:rPr>
        <w:t>（二）例外率预算</w:t>
      </w:r>
      <w:bookmarkEnd w:id="9"/>
    </w:p>
    <w:p w14:paraId="7BF7711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取消人工确认后，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经济性完全取决于例外率</w:t>
      </w:r>
      <w:r>
        <w:rPr>
          <w:rFonts w:hint="eastAsia" w:ascii="宋体" w:hAnsi="宋体" w:eastAsia="宋体" w:cs="宋体"/>
          <w:color w:val="212121"/>
          <w:sz w:val="24"/>
        </w:rPr>
        <w:t>：每一次 uncertain 都意味着一头牛进复核栏、一次人工介入。因此必须给每类例外设预算上限，超限即回退。</w:t>
      </w:r>
    </w:p>
    <w:p w14:paraId="25AD24B6">
      <w:pPr>
        <w:jc w:val="center"/>
      </w:pPr>
      <w:r>
        <w:rPr>
          <w:rFonts w:hint="eastAsia"/>
          <w:color w:val="888888"/>
          <w:sz w:val="18"/>
        </w:rPr>
        <w:t>表 6　例外类型、预算上限与超限动作</w:t>
      </w:r>
    </w:p>
    <w:tbl>
      <w:tblPr>
        <w:tblW w:w="8306" w:type="dxa"/>
        <w:shd w:color="212121"/>
        <w:tblLayout w:type="autofit"/>
        <w:tblCellMar/>
      </w:tblPr>
      <w:tblGrid>
        <w:gridCol w:w="2159"/>
        <w:gridCol w:w="2325"/>
        <w:gridCol w:w="3822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7A00D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例外类型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4BB43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预算上限（建议）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F447D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超限动作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F1E8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轮廓/占位 uncertain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38751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5%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2E0AF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检查探头安装与基准；持续超限则暂停自动进栏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7D9B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无标签/不可读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4AEA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按该场历史耳标丢失率估计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B3D4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转复核栏人工验证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2525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 EID / 读归属冲突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46A161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1%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26370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复核天线位置与邻标签隔离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D5672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planned ≠ actual exit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4DE0D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趋近于 0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DA16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每次都必须人工复盘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13FA4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设备或门故障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49C5A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趋近于 0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314B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安全层直接抑制驱动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8683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复核栏满/分支堵塞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036A40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2%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DE12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停止进栏，排队等待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868319">
            <w:pPr>
              <w:jc w:val="left"/>
              <w:rPr>
                <w:color w:val="212121"/>
              </w:rPr>
            </w:pPr>
            <w:r>
              <w:rPr>
                <w:rFonts w:hint="eastAsia"/>
                <w:color w:val="212121"/>
              </w:rPr>
              <w:t>偏心致读失败（无侧向监测时）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036A403">
            <w:pPr>
              <w:jc w:val="left"/>
              <w:rPr>
                <w:color w:val="212121"/>
              </w:rPr>
            </w:pPr>
            <w:r>
              <w:rPr>
                <w:rFonts w:hint="eastAsia"/>
                <w:color w:val="212121"/>
              </w:rPr>
              <w:t>由试验数据定（建议 ≤ 3%）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DE1295">
            <w:pPr>
              <w:jc w:val="left"/>
              <w:rPr>
                <w:color w:val="212121"/>
              </w:rPr>
            </w:pPr>
            <w:r>
              <w:rPr>
                <w:rFonts w:hint="eastAsia"/>
                <w:color w:val="212121"/>
              </w:rPr>
              <w:t>转复核栏人工验证；持续超限则评估加装单侧探头</w:t>
            </w:r>
          </w:p>
        </w:tc>
      </w:tr>
    </w:tbl>
    <w:p w14:paraId="3848A7F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预算值为建议初值，由试验数据确定后回填；回退策略须写入现场操作程序，而不是停留在纸面。</w:t>
      </w:r>
    </w:p>
    <w:p w14:paraId="5779E090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0" w:name="section-6"/>
      <w:r>
        <w:rPr>
          <w:rFonts w:hint="eastAsia" w:ascii="黑体" w:hAnsi="黑体" w:eastAsia="黑体" w:cs="黑体"/>
          <w:b w:val="1"/>
          <w:color w:val="1a237e"/>
          <w:sz w:val="32"/>
        </w:rPr>
        <w:t>六、四项硬约束（设计红线）</w:t>
      </w:r>
      <w:bookmarkEnd w:id="10"/>
    </w:p>
    <w:p w14:paraId="183DD4B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这四条是「取消人工确认」能否成立的前提。任一条不满足，就不应取消人工进栏确认。</w:t>
      </w:r>
    </w:p>
    <w:p w14:paraId="4E70C3DC">
      <w:pPr>
        <w:jc w:val="center"/>
      </w:pPr>
      <w:r>
        <w:rPr>
          <w:rFonts w:hint="eastAsia"/>
          <w:color w:val="888888"/>
          <w:sz w:val="18"/>
        </w:rPr>
        <w:t>表 7　四项硬约束</w:t>
      </w:r>
    </w:p>
    <w:tbl>
      <w:tblPr>
        <w:tblW w:w="8306" w:type="dxa"/>
        <w:shd w:color="212121"/>
        <w:tblLayout w:type="autofit"/>
        <w:tblCellMar/>
      </w:tblPr>
      <w:tblGrid>
        <w:gridCol w:w="830"/>
        <w:gridCol w:w="3654"/>
        <w:gridCol w:w="3822"/>
      </w:tblGrid>
      <w:tr>
        <w:trPr>
          <w:tblHeader w:val="1"/>
        </w:trPr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4AD3D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编号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631B4A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硬约束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AC54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不满足的后果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BA2D2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D99E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安全层前置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：自动进栏以独立安全控制、机械防护、已验证的阻碍响应为前提；超声不能独立提供防夹（§10.3）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A83B1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牛只在门区受夹伤，且无人在场及时发现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9429F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P2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8F93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尺寸用最小值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：B 段长度小于两倍目标品种体长最小值，且现场勘察逐场确认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55CD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「双门关闭 ⇒ 单牛」的推理失效，机器可能漏判双牛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AD05C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P3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026F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例外率预算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：每类例外设上限并配回退策略，超限即回到辅助进栏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DF4EB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例外率失控，人力成本反超人工确认方案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E7181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P4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BD1CF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漏判兜底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：进/出计数对账 + planned 与 actual 不一致报警，作为机器误判双牛为一牛的最后防线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2716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漏判无声发生，错误身份直接进入国家记录</w:t>
            </w:r>
          </w:p>
        </w:tc>
      </w:tr>
    </w:tbl>
    <w:p w14:paraId="11EF686E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11A52C0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P4 尤其不能省：它是唯一能在「机器把两头牛判为一头」之后仍然发现问题的机制，靠的是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进入数与外出数不平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这一硬事实，而不依赖任何传感器的判断。</w:t>
            </w:r>
          </w:p>
        </w:tc>
      </w:tr>
    </w:tbl>
    <w:p w14:paraId="314783FB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1" w:name="section-7"/>
      <w:r>
        <w:rPr>
          <w:rFonts w:hint="eastAsia" w:ascii="黑体" w:hAnsi="黑体" w:eastAsia="黑体" w:cs="黑体"/>
          <w:b w:val="1"/>
          <w:color w:val="1a237e"/>
          <w:sz w:val="32"/>
        </w:rPr>
        <w:t>七、例外处理：人工到底管什么</w:t>
      </w:r>
      <w:bookmarkEnd w:id="11"/>
    </w:p>
    <w:p w14:paraId="0507BEE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人工不再参与常规通行，但职责并未消失，而是收缩为六类例外的处置。所有动作均在赛道外完成（§10.1、§10.3），官方身份字段的任何变更都需人工批准（§10.5）。</w:t>
      </w:r>
    </w:p>
    <w:p w14:paraId="2206F1D1">
      <w:pPr>
        <w:jc w:val="center"/>
      </w:pPr>
      <w:r>
        <w:rPr>
          <w:rFonts w:hint="eastAsia"/>
          <w:color w:val="888888"/>
          <w:sz w:val="18"/>
        </w:rPr>
        <w:t>表 8　例外类型与人工动作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2159"/>
        <w:gridCol w:w="2491"/>
        <w:gridCol w:w="2161"/>
      </w:tblGrid>
      <w:tr>
        <w:trPr>
          <w:tblHeader w:val="1"/>
        </w:trPr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B55C3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例外类型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74095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触发条件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2522F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人工动作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92A435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记录要求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ABC4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身份待定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44D68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无标签、标签不可读、多 EID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D47B0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目视核对官方标识，补录身份或走官方补标流程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B094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原始例外与后续关联须可审计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D5DF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占位/轮廓不确定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BBE4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无回声、数据过期、故障、轮廓超宽或超时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D566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复核栏人工清点，手动分流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2C1C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归因到探头/基准/动物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1064B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设备或门故障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7F23F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安全层抑制、门反馈异常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01C2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按规程从室外释放牛只，报修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DD522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维护记录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0241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出口不一致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35E70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planned 与 actual exit 不一致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1476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逐头复盘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0E4F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计入误分流统计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87C6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计数不平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FEF1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进入数不等于外出数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BC3D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立即停线排查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1085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强制记录，不可跳过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1432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复核栏满/堵塞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DB6B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满载或分支堵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7A7B0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停止进栏，排队等待</w:t>
            </w:r>
          </w:p>
        </w:tc>
        <w:tc>
          <w:tcPr>
            <w:tcW w:w="21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E9DA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计入例外率</w:t>
            </w:r>
          </w:p>
        </w:tc>
      </w:tr>
    </w:tbl>
    <w:p w14:paraId="0EAA5E2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界面沿用 §10.5 的四态分类（电子已验证／待身份复核／设备赛道故障／人工解决），人工只与后三种交互。</w:t>
      </w:r>
    </w:p>
    <w:p w14:paraId="4862C68F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2" w:name="section-8"/>
      <w:r>
        <w:rPr>
          <w:rFonts w:hint="eastAsia" w:ascii="黑体" w:hAnsi="黑体" w:eastAsia="黑体" w:cs="黑体"/>
          <w:b w:val="1"/>
          <w:color w:val="1a237e"/>
          <w:sz w:val="32"/>
        </w:rPr>
        <w:t>八、经济性影响与需重算的指标</w:t>
      </w:r>
      <w:bookmarkEnd w:id="12"/>
    </w:p>
    <w:p w14:paraId="1366624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取消人工确认会改善净工时，但所有受影响数字都要重算，不能沿用 v1 口径的结果。</w:t>
      </w:r>
    </w:p>
    <w:p w14:paraId="4AA9E359">
      <w:pPr>
        <w:jc w:val="center"/>
      </w:pPr>
      <w:r>
        <w:rPr>
          <w:rFonts w:hint="eastAsia"/>
          <w:color w:val="888888"/>
          <w:sz w:val="18"/>
        </w:rPr>
        <w:t>表 9　经济性指标重算清单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2325"/>
        <w:gridCol w:w="2159"/>
        <w:gridCol w:w="1829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82335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指标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02F2E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v1 口径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82527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v2 口径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63C1B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动作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7D8F1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每头人工确认时间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CBE34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计入成本（§10.4）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5D47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取消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570F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净工时重新实测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E9ED6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目标吞吐 150 头/h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0679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含人工确认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BC9BD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理论上限提高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F6C22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试验实测，不纸上推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E2D80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试验条件 200 头/90 min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7DCB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含人工确认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59CB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同左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29092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试验条件不变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106D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回本测算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AFB44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按旧净工时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8309DC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按新净工时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A55CE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用最终报价重算（§10.7）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F4D8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复核栏人力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3B1FF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例外处理之一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BB07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唯一人力项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7068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按例外率预算测算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73C5C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安装价 £18,500 + £720/年 + £60/年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E10BA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不变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B5DB3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不变（复用既有赛道与复核栏）</w:t>
            </w:r>
          </w:p>
        </w:tc>
        <w:tc>
          <w:tcPr>
            <w:tcW w:w="182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27943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不变</w:t>
            </w:r>
          </w:p>
        </w:tc>
      </w:tr>
    </w:tbl>
    <w:p w14:paraId="1B4BC231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3" w:name="section-9"/>
      <w:r>
        <w:rPr>
          <w:rFonts w:hint="eastAsia" w:ascii="黑体" w:hAnsi="黑体" w:eastAsia="黑体" w:cs="黑体"/>
          <w:b w:val="1"/>
          <w:color w:val="1a237e"/>
          <w:sz w:val="32"/>
        </w:rPr>
        <w:t>九、需同步的稿件段落</w:t>
      </w:r>
      <w:bookmarkEnd w:id="13"/>
    </w:p>
    <w:p w14:paraId="28FFEFD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若本方案被采纳，以下段落须同步处理；正式正文仍由负责同学在 Cadmus 亲自录入。</w:t>
      </w:r>
    </w:p>
    <w:p w14:paraId="4190BE48">
      <w:pPr>
        <w:jc w:val="center"/>
      </w:pPr>
      <w:r>
        <w:rPr>
          <w:rFonts w:hint="eastAsia"/>
          <w:color w:val="888888"/>
          <w:sz w:val="18"/>
        </w:rPr>
        <w:t>表 10　需同步的稿件位置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2657"/>
        <w:gridCol w:w="3822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59CED3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稿中位置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DCD2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现状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34D5B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黑体" w:hAnsi="黑体" w:eastAsia="黑体" w:cs="黑体"/>
                <w:b w:val="1"/>
                <w:color w:val="212121"/>
                <w:sz w:val="21"/>
              </w:rPr>
              <w:t>v2 处理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46B817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§10.4 P24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0610D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「Version 1 needs no machine learning」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A6AC3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删除版本表述，改为「ID-Coo uses a rule-based state machine and needs no machine learning」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017B24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§10.4 P26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6F90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「Version 1 retains staff confirmation and counts that time in its economics」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69B6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重写：单牛判定全自动，人工仅处理例外，成本按例外率计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23918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§10.4 P26 尾句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A28F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「Automatic entry requires prior validation of separation, anti-pinch protection and exception handling」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9045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六点枚举改为四点（U-B1／U-B2／U-N／U-E，位置与职责见表 3），并补边界句（见下方建议补句）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0614E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§10.2 P14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E963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六点、三态、公式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5BD30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「Six points are provisional」仍成立；数量与标签随 P14 同步改为四点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D9156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§5.2 SWOT 弱点段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CB70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「Version 1 still relies on staff to confirm single-cow entry」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C912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删除该弱点，替换为「例外率与漏判率是主要待验证风险」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067A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§5.2 SWOT 优点段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70225F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含「planned and confirmed exits」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A58F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措辞对齐 §10.5 的「planned and actual exit」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306EC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§10.7 经济性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C3FB5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含人工确认时间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C90D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按例外率重算后回填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2BB03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§9 UR 需求（UR1–UR10）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DBBB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现十条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47548E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逐条核对是否因取消人工确认而放宽或收紧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2574EB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Figure 2「Local log + HMI」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4906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HMI 未定义</w:t>
            </w:r>
          </w:p>
        </w:tc>
        <w:tc>
          <w:tcPr>
            <w:tcW w:w="382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90E5C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§10.5 首次出现界面处补「the human–machine interface (HMI) shown in Figure 2」</w:t>
            </w:r>
          </w:p>
        </w:tc>
      </w:tr>
    </w:tbl>
    <w:p w14:paraId="5E378BD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5f7fa"/>
            <w:vAlign w:val="center"/>
          </w:tcPr>
          <w:p w14:paraId="1A959B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§10.2 P14 建议补句：These points corroborate occupancy and passage; they cannot by themselves count animals, so single-cow acceptance is decided by the machine from section dimensions, closed-gate interlocks, two-beam coverage at the section ends and passage timing, with unresolved cases routed to manual review.</w:t>
            </w:r>
          </w:p>
        </w:tc>
      </w:tr>
    </w:tbl>
    <w:p w14:paraId="5FDCF90C">
      <w:pPr>
        <w:pStyle w:val="00000b"/>
        <w:keepNext w:val="1"/>
        <w:keepLines w:val="1"/>
        <w:spacing w:before="528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4" w:name="section-10"/>
      <w:r>
        <w:rPr>
          <w:rFonts w:hint="eastAsia" w:ascii="黑体" w:hAnsi="黑体" w:eastAsia="黑体" w:cs="黑体"/>
          <w:b w:val="1"/>
          <w:color w:val="1a237e"/>
          <w:sz w:val="32"/>
        </w:rPr>
        <w:t>十、残余风险与适用边界</w:t>
      </w:r>
      <w:bookmarkEnd w:id="14"/>
    </w:p>
    <w:p w14:paraId="19CB7211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漏判风险仍在：</w:t>
      </w:r>
      <w:r>
        <w:rPr>
          <w:rFonts w:hint="eastAsia" w:ascii="宋体" w:hAnsi="宋体" w:eastAsia="宋体" w:cs="宋体"/>
          <w:color w:val="212121"/>
          <w:sz w:val="24"/>
        </w:rPr>
        <w:t>机器把双牛判为一牛的可能性无法归零，只能由 P4（计数对账 + 出口不一致报警）在事后发现。因此不得对外声称「零误判」，只能给带置信区间的性能（§10.7 P38）。</w:t>
      </w:r>
    </w:p>
    <w:p w14:paraId="02FF29E5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例外率是经济性命门：</w:t>
      </w:r>
      <w:r>
        <w:rPr>
          <w:rFonts w:hint="eastAsia" w:ascii="宋体" w:hAnsi="宋体" w:eastAsia="宋体" w:cs="宋体"/>
          <w:color w:val="212121"/>
          <w:sz w:val="24"/>
        </w:rPr>
        <w:t>全部人力成本压在例外率上；若实测例外率显著高于预算，须按 P3 回退到辅助进栏。</w:t>
      </w:r>
    </w:p>
    <w:p w14:paraId="5B3BF726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个体差异：</w:t>
      </w:r>
      <w:r>
        <w:rPr>
          <w:rFonts w:hint="eastAsia" w:ascii="宋体" w:hAnsi="宋体" w:eastAsia="宋体" w:cs="宋体"/>
          <w:color w:val="212121"/>
          <w:sz w:val="24"/>
        </w:rPr>
        <w:t>体长分布决定尺寸红线；换品种或换场必须重新校核（§10.1 P6）。</w:t>
      </w:r>
    </w:p>
    <w:p w14:paraId="1B865571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环境因素：</w:t>
      </w:r>
      <w:r>
        <w:rPr>
          <w:rFonts w:hint="eastAsia" w:ascii="宋体" w:hAnsi="宋体" w:eastAsia="宋体" w:cs="宋体"/>
          <w:color w:val="212121"/>
          <w:sz w:val="24"/>
        </w:rPr>
        <w:t>洗栏后水膜、灰尘、冷凝会改变空基准，必须按班次与洗栏后重测。</w:t>
      </w:r>
    </w:p>
    <w:p w14:paraId="78C9F4C3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门机构可靠性：</w:t>
      </w:r>
      <w:r>
        <w:rPr>
          <w:rFonts w:hint="eastAsia" w:ascii="宋体" w:hAnsi="宋体" w:eastAsia="宋体" w:cs="宋体"/>
          <w:color w:val="212121"/>
          <w:sz w:val="24"/>
        </w:rPr>
        <w:t>「双门关闭 ⇒ 单牛」的推理依赖门位置反馈可信；门故障必须判 uncertain 而非默认关闭（与 §10.3 安全层一致）。</w:t>
      </w:r>
    </w:p>
    <w:p w14:paraId="7A82AD11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牛群行为：</w:t>
      </w:r>
      <w:r>
        <w:rPr>
          <w:rFonts w:hint="eastAsia" w:ascii="宋体" w:hAnsi="宋体" w:eastAsia="宋体" w:cs="宋体"/>
          <w:color w:val="212121"/>
          <w:sz w:val="24"/>
        </w:rPr>
        <w:t>顶牛、急退可能让两头牛同时部分占段；由门序（扫描期间 G1 关闭、B 段物理隔离）与计数对账承接，但须试验验证，不能假定不存在。</w:t>
      </w:r>
    </w:p>
    <w:p w14:paraId="2ADF12DB">
      <w:pPr>
        <w:numPr>
          <w:ilvl w:val="0"/>
          <w:numId w:val="2"/>
        </w:numPr>
        <w:pBdr>
          <w:left w:space="24"/>
        </w:pBdr>
        <w:spacing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独立性口径：</w:t>
      </w:r>
      <w:r>
        <w:rPr>
          <w:rFonts w:hint="eastAsia" w:ascii="宋体" w:hAnsi="宋体" w:eastAsia="宋体" w:cs="宋体"/>
          <w:color w:val="212121"/>
          <w:sz w:val="24"/>
        </w:rPr>
        <w:t>同一牛群重复通行不算独立样本；零观测错误不等于零风险（§10.7 P38）。</w:t>
      </w:r>
    </w:p>
    <w:p w14:paraId="23FFA0DD">
      <w:pPr>
        <w:pBdr>
          <w:top w:val="single" w:color="e0e0e0" w:sz="6" w:space="14"/>
        </w:pBdr>
        <w:spacing w:before="528" w:after="180" w:line="384"/>
        <w:jc w:val="left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32"/>
        </w:rPr>
        <w:t>元信息</w:t>
      </w:r>
    </w:p>
    <w:p w14:paraId="13DBF7A0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目标读者：</w:t>
      </w:r>
      <w:r>
        <w:rPr>
          <w:rFonts w:hint="eastAsia" w:ascii="宋体" w:hAnsi="宋体" w:eastAsia="宋体" w:cs="宋体"/>
          <w:color w:val="212121"/>
          <w:sz w:val="24"/>
        </w:rPr>
        <w:t>ID-Coo 项目组内部成员（组员 1–5），用于就「全自动单牛判定」达成共识</w:t>
      </w:r>
    </w:p>
    <w:p w14:paraId="1FC75CA8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前置知识：</w:t>
      </w:r>
      <w:r>
        <w:rPr>
          <w:rFonts w:hint="eastAsia" w:ascii="宋体" w:hAnsi="宋体" w:eastAsia="宋体" w:cs="宋体"/>
          <w:color w:val="212121"/>
          <w:sz w:val="24"/>
        </w:rPr>
        <w:t>ID-Coo 报告 §1、§5.2、§10.1–§10.7 内容；超声测距基本原理</w:t>
      </w:r>
    </w:p>
    <w:p w14:paraId="076EE23B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引用来源：</w:t>
      </w:r>
      <w:r>
        <w:rPr>
          <w:rFonts w:hint="eastAsia" w:ascii="宋体" w:hAnsi="宋体" w:eastAsia="宋体" w:cs="宋体"/>
          <w:color w:val="212121"/>
          <w:sz w:val="24"/>
        </w:rPr>
        <w:t>稿中 [20] [29] Arrowquip 可调/分流通道产品页；[30] CIGR 2015 牛舍设计标准；[31] Cerqueira 2013（1,054 头实测）；[35] Banner 超声传感 101；[36] Pepperl+Fuchs 超声 FAQ；稿内 §10.1–§10.7 文本</w:t>
      </w:r>
    </w:p>
    <w:p w14:paraId="08705043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与 v1 的关系：</w:t>
      </w:r>
      <w:r>
        <w:rPr>
          <w:rFonts w:hint="eastAsia" w:ascii="宋体" w:hAnsi="宋体" w:eastAsia="宋体" w:cs="宋体"/>
          <w:color w:val="212121"/>
          <w:sz w:val="24"/>
        </w:rPr>
        <w:t>本版取代《组内备忘_ID-Coo单牛自动判定技术方案_v1_20261019.docx》；v1 保留仅供追溯口径变更</w:t>
      </w:r>
    </w:p>
    <w:p w14:paraId="2D153B72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文档性质：</w:t>
      </w:r>
      <w:r>
        <w:rPr>
          <w:rFonts w:hint="eastAsia" w:ascii="宋体" w:hAnsi="宋体" w:eastAsia="宋体" w:cs="宋体"/>
          <w:color w:val="212121"/>
          <w:sz w:val="24"/>
        </w:rPr>
        <w:t>内部讨论稿，不进入提交报告；若结论被采纳，正式正文仍须由负责同学在 Cadmus 中亲自录入</w:t>
      </w:r>
    </w:p>
    <w:p w14:paraId="436B32D6">
      <w:pPr>
        <w:numPr>
          <w:ilvl w:val="0"/>
          <w:numId w:val="1"/>
        </w:numPr>
        <w:pBdr>
          <w:top w:val="single" w:color="e0e0e0" w:sz="6" w:space="14"/>
          <w:left w:space="24"/>
        </w:pBdr>
        <w:spacing w:before="528" w:after="180" w:line="384"/>
        <w:jc w:val="both"/>
        <w:rPr>
          <w:color w:val="21212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b w:val="1"/>
          <w:color w:val="212121"/>
          <w:sz w:val="24"/>
        </w:rPr>
        <w:t>版本：</w:t>
      </w:r>
      <w:r>
        <w:rPr>
          <w:rFonts w:hint="eastAsia" w:ascii="宋体" w:hAnsi="宋体" w:eastAsia="宋体" w:cs="宋体"/>
          <w:color w:val="212121"/>
          <w:sz w:val="24"/>
        </w:rPr>
        <w:t>v2（2026-10-20），组员 4 整理</w:t>
      </w:r>
    </w:p>
    <w:p w14:paraId="7D2232D9">
      <w:pPr/>
    </w:p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27EDC9C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" w:semiHidden="1" w:unhideWhenUsed="1"/>
    <w:lsdException w:name="footnote text" w:semiHidden="1" w:unhideWhenUsed="1"/>
    <w:lsdException w:name="List Bullet 2" w:semiHidden="1" w:unhideWhenUsed="1"/>
    <w:lsdException w:name="table of authorities" w:semiHidden="1" w:unhideWhenUsed="1"/>
    <w:lsdException w:name="index 5" w:semiHidden="1" w:unhideWhenUsed="1"/>
    <w:lsdException w:name="footnote reference" w:semiHidden="1" w:unhideWhenUsed="1"/>
    <w:lsdException w:name="heading 6" w:uiPriority="9" w:semiHidden="1" w:unhideWhenUsed="1" w:qFormat="1"/>
    <w:lsdException w:name="line number" w:semiHidden="1" w:unhideWhenUsed="1"/>
    <w:lsdException w:name="heading 4" w:uiPriority="9" w:semiHidden="1" w:unhideWhenUsed="1" w:qFormat="1"/>
    <w:lsdException w:name="toc 8" w:uiPriority="39" w:semiHidden="1" w:unhideWhenUsed="1"/>
    <w:lsdException w:name="caption" w:uiPriority="35" w:semiHidden="1" w:unhideWhenUsed="1" w:qFormat="1"/>
    <w:lsdException w:name="Body Text Indent 3" w:semiHidden="1" w:unhideWhenUsed="1"/>
    <w:lsdException w:name="index 9" w:semiHidden="1" w:unhideWhenUsed="1"/>
    <w:lsdException w:name="index 1" w:semiHidden="1" w:unhideWhenUsed="1"/>
    <w:lsdException w:name="toc 5" w:uiPriority="39" w:semiHidden="1" w:unhideWhenUsed="1"/>
    <w:lsdException w:name="Normal" w:uiPriority="0" w:qFormat="1"/>
    <w:lsdException w:name="index 2" w:semiHidden="1" w:unhideWhenUsed="1"/>
    <w:lsdException w:name="List Number 4" w:semiHidden="1" w:unhideWhenUsed="1"/>
    <w:lsdException w:name="List Number" w:semiHidden="1" w:unhideWhenUsed="1"/>
    <w:lsdException w:name="header" w:semiHidden="1" w:unhideWhenUsed="1"/>
    <w:lsdException w:name="page number" w:semiHidden="1" w:unhideWhenUsed="1"/>
    <w:lsdException w:name="toc 4" w:uiPriority="39" w:semiHidden="1" w:unhideWhenUsed="1"/>
    <w:lsdException w:name="Title" w:uiPriority="10" w:qFormat="1"/>
    <w:lsdException w:name="List 2" w:semiHidden="1" w:unhideWhenUsed="1"/>
    <w:lsdException w:name="Body Text First Indent" w:semiHidden="1" w:unhideWhenUsed="1"/>
    <w:lsdException w:name="List 5" w:semiHidden="1" w:unhideWhenUsed="1"/>
    <w:lsdException w:name="footer" w:semiHidden="1" w:unhideWhenUsed="1"/>
    <w:lsdException w:name="index 3" w:semiHidden="1" w:unhideWhenUsed="1"/>
    <w:lsdException w:name="List Continue 2" w:semiHidden="1" w:unhideWhenUsed="1"/>
    <w:lsdException w:name="annotation reference" w:semiHidden="1" w:unhideWhenUsed="1"/>
    <w:lsdException w:name="Strong" w:uiPriority="22" w:qFormat="1"/>
    <w:lsdException w:name="Hyperlink" w:semiHidden="1" w:unhideWhenUsed="1"/>
    <w:lsdException w:name="toc 3" w:uiPriority="39" w:semiHidden="1" w:unhideWhenUsed="1"/>
    <w:lsdException w:name="Body Text Indent" w:semiHidden="1" w:unhideWhenUsed="1"/>
    <w:lsdException w:name="List Number 5" w:semiHidden="1" w:unhideWhenUsed="1"/>
    <w:lsdException w:name="toc 7" w:uiPriority="39" w:semiHidden="1" w:unhideWhenUsed="1"/>
    <w:lsdException w:name="Body Text 2" w:semiHidden="1" w:unhideWhenUsed="1"/>
    <w:lsdException w:name="FollowedHyperlink" w:semiHidden="1" w:unhideWhenUsed="1"/>
    <w:lsdException w:name="index 6" w:semiHidden="1" w:unhideWhenUsed="1"/>
    <w:lsdException w:name="heading 3" w:uiPriority="9" w:semiHidden="1" w:unhideWhenUsed="1" w:qFormat="1"/>
    <w:lsdException w:name="heading 9" w:uiPriority="9" w:semiHidden="1" w:unhideWhenUsed="1" w:qFormat="1"/>
    <w:lsdException w:name="Body Text Indent 2" w:semiHidden="1" w:unhideWhenUsed="1"/>
    <w:lsdException w:name="endnote text" w:semiHidden="1" w:unhideWhenUsed="1"/>
    <w:lsdException w:name="List Continue 4" w:semiHidden="1" w:unhideWhenUsed="1"/>
    <w:lsdException w:name="Closing" w:semiHidden="1" w:unhideWhenUsed="1"/>
    <w:lsdException w:name="index 8" w:semiHidden="1" w:unhideWhenUsed="1"/>
    <w:lsdException w:name="index 7" w:semiHidden="1" w:unhideWhenUsed="1"/>
    <w:lsdException w:name="List Bullet 4" w:semiHidden="1" w:unhideWhenUsed="1"/>
    <w:lsdException w:name="index heading" w:semiHidden="1" w:unhideWhenUsed="1"/>
    <w:lsdException w:name="Body Text" w:semiHidden="1" w:unhideWhenUsed="1"/>
    <w:lsdException w:name="heading 7" w:uiPriority="9" w:semiHidden="1" w:unhideWhenUsed="1" w:qFormat="1"/>
    <w:lsdException w:name="List Bullet" w:semiHidden="1" w:unhideWhenUsed="1"/>
    <w:lsdException w:name="Message Header" w:semiHidden="1" w:unhideWhenUsed="1"/>
    <w:lsdException w:name="List Bullet 3" w:semiHidden="1" w:unhideWhenUsed="1"/>
    <w:lsdException w:name="Default Paragraph Font" w:uiPriority="1" w:semiHidden="1" w:unhideWhenUsed="1"/>
    <w:lsdException w:name="Body Text 3" w:semiHidden="1" w:unhideWhenUsed="1"/>
    <w:lsdException w:name="List Bullet 5" w:semiHidden="1" w:unhideWhenUsed="1"/>
    <w:lsdException w:name="toc 6" w:uiPriority="39" w:semiHidden="1" w:unhideWhenUsed="1"/>
    <w:lsdException w:name="heading 5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List Continue" w:semiHidden="1" w:unhideWhenUsed="1"/>
    <w:lsdException w:name="List Number 3" w:semiHidden="1" w:unhideWhenUsed="1"/>
    <w:lsdException w:name="annotation text" w:semiHidden="1" w:unhideWhenUsed="1"/>
    <w:lsdException w:name="heading 8" w:uiPriority="9" w:semiHidden="1" w:unhideWhenUsed="1" w:qFormat="1"/>
    <w:lsdException w:name="Salutation" w:semiHidden="1" w:unhideWhenUsed="1"/>
    <w:lsdException w:name="Signature" w:semiHidden="1" w:unhideWhenUsed="1"/>
    <w:lsdException w:name="Subtitle" w:uiPriority="11" w:qFormat="1"/>
    <w:lsdException w:name="Body Text First Indent 2" w:semiHidden="1" w:unhideWhenUsed="1"/>
    <w:lsdException w:name="toa heading" w:semiHidden="1" w:unhideWhenUsed="1"/>
    <w:lsdException w:name="endnote reference" w:semiHidden="1" w:unhideWhenUsed="1"/>
    <w:lsdException w:name="Date" w:semiHidden="1" w:unhideWhenUsed="1"/>
    <w:lsdException w:name="Block Text" w:semiHidden="1" w:unhideWhenUsed="1"/>
    <w:lsdException w:name="table of figures" w:semiHidden="1" w:unhideWhenUsed="1"/>
    <w:lsdException w:name="List Continue 5" w:semiHidden="1" w:unhideWhenUsed="1"/>
    <w:lsdException w:name="heading 2" w:uiPriority="9" w:semiHidden="1" w:unhideWhenUsed="1" w:qFormat="1"/>
    <w:lsdException w:name="List Continue 3" w:semiHidden="1" w:unhideWhenUsed="1"/>
    <w:lsdException w:name="heading 1" w:uiPriority="9" w:qFormat="1"/>
    <w:lsdException w:name="macro" w:semiHidden="1" w:unhideWhenUsed="1"/>
    <w:lsdException w:name="List 3" w:semiHidden="1" w:unhideWhenUsed="1"/>
    <w:lsdException w:name="Note Heading" w:semiHidden="1" w:unhideWhenUsed="1"/>
    <w:lsdException w:name="envelope address" w:semiHidden="1" w:unhideWhenUsed="1"/>
    <w:lsdException w:name="index 4" w:semiHidden="1" w:unhideWhenUsed="1"/>
    <w:lsdException w:name="Normal Indent" w:semiHidden="1" w:unhideWhenUsed="1"/>
    <w:lsdException w:name="List 4" w:semiHidden="1" w:unhideWhenUsed="1"/>
    <w:lsdException w:name="List Number 2" w:semiHidden="1" w:unhideWhenUsed="1"/>
    <w:lsdException w:name="toc 9" w:uiPriority="39" w:semiHidden="1" w:unhideWhenUsed="1"/>
    <w:lsdException w:name="envelope return" w:semiHidden="1" w:unhideWhenUsed="1"/>
  </w:latentStyles>
  <w:style w:type="paragraph" w:styleId="000008">
    <w:name w:val="toc 1"/>
    <w:basedOn w:val="000007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b">
    <w:name w:val="heading 2"/>
    <w:basedOn w:val="000007"/>
    <w:next w:val="000007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c">
    <w:name w:val="heading 3"/>
    <w:basedOn w:val="000007"/>
    <w:next w:val="000007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table" w:styleId="00000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styleId="00000d" w:default="1">
    <w:name w:val="Normal"/>
    <w:pPr>
      <w:widowControl w:val="0"/>
      <w:jc w:val="left"/>
    </w:pPr>
    <w:rPr>
      <w:rFonts/>
    </w:rPr>
  </w:style>
  <w:style w:type="paragraph" w:styleId="000006">
    <w:name w:val="toc 2"/>
    <w:basedOn w:val="000007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table" w:styleId="000009">
    <w:name w:val="Table Grid"/>
    <w:basedOn w:val="00000a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2026-10-20T12:42:10Z</dcterms:created>
  <dcterms:modified xsi:type="dcterms:W3CDTF">2026-10-20T12:42:10Z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"01a1571121e67dc1bf97abde2fe0c452", "ReservedCode1": "", "ContentPropagator": "00119111010856365494821B355", "PropagateID": "01a1571121e67dc1bf97abde2fe0c452", "ReservedCode2": ""}}</vt:lpwstr>
  </property>
</Properties>
</file>