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9B6FE" w14:textId="77777777" w:rsidR="00E807B6" w:rsidRDefault="00E807B6" w:rsidP="00E807B6">
      <w:pPr>
        <w:widowControl/>
        <w:rPr>
          <w:rFonts w:ascii="Times" w:eastAsia="楷体" w:hAnsi="Times" w:cs="Courier New"/>
          <w:b/>
          <w:bCs/>
          <w:sz w:val="21"/>
          <w:szCs w:val="22"/>
        </w:rPr>
      </w:pPr>
      <w:r w:rsidRPr="00D85829">
        <w:rPr>
          <w:rFonts w:ascii="Times" w:eastAsia="楷体" w:hAnsi="Times" w:cs="Courier New" w:hint="eastAsia"/>
          <w:b/>
          <w:bCs/>
          <w:sz w:val="21"/>
          <w:szCs w:val="22"/>
        </w:rPr>
        <w:t>【</w:t>
      </w:r>
      <w:r w:rsidRPr="00D85829">
        <w:rPr>
          <w:rFonts w:ascii="Times" w:eastAsia="楷体" w:hAnsi="Times" w:cs="Courier New" w:hint="eastAsia"/>
          <w:b/>
          <w:bCs/>
          <w:sz w:val="21"/>
          <w:szCs w:val="22"/>
        </w:rPr>
        <w:t>2025-0</w:t>
      </w:r>
      <w:r>
        <w:rPr>
          <w:rFonts w:ascii="Times" w:eastAsia="楷体" w:hAnsi="Times" w:cs="Courier New" w:hint="eastAsia"/>
          <w:b/>
          <w:bCs/>
          <w:sz w:val="21"/>
          <w:szCs w:val="22"/>
        </w:rPr>
        <w:t>7</w:t>
      </w:r>
      <w:r w:rsidRPr="00D85829">
        <w:rPr>
          <w:rFonts w:ascii="Times" w:eastAsia="楷体" w:hAnsi="Times" w:cs="Courier New" w:hint="eastAsia"/>
          <w:b/>
          <w:bCs/>
          <w:sz w:val="21"/>
          <w:szCs w:val="22"/>
        </w:rPr>
        <w:t>】</w:t>
      </w:r>
      <w:r w:rsidRPr="003A3CF5">
        <w:rPr>
          <w:rFonts w:ascii="Times" w:eastAsia="楷体" w:hAnsi="Times" w:cs="Courier New"/>
          <w:b/>
          <w:bCs/>
          <w:sz w:val="21"/>
          <w:szCs w:val="22"/>
        </w:rPr>
        <w:t>Deploying photovoltaic systems in global open-pit mines for a clean energy transition</w:t>
      </w:r>
    </w:p>
    <w:p w14:paraId="4CADDCE1" w14:textId="77777777" w:rsidR="00E807B6" w:rsidRDefault="00E807B6" w:rsidP="00E807B6">
      <w:pPr>
        <w:widowControl/>
        <w:rPr>
          <w:rFonts w:ascii="Times" w:eastAsia="楷体" w:hAnsi="Times" w:cs="Courier New"/>
          <w:b/>
          <w:bCs/>
          <w:sz w:val="21"/>
          <w:szCs w:val="22"/>
        </w:rPr>
      </w:pPr>
      <w:r>
        <w:rPr>
          <w:rFonts w:ascii="Times" w:eastAsia="楷体" w:hAnsi="Times" w:cs="Courier New" w:hint="eastAsia"/>
          <w:b/>
          <w:bCs/>
          <w:sz w:val="21"/>
          <w:szCs w:val="22"/>
        </w:rPr>
        <w:t>《</w:t>
      </w:r>
      <w:r w:rsidRPr="003A3CF5">
        <w:rPr>
          <w:rFonts w:ascii="Times" w:eastAsia="楷体" w:hAnsi="Times" w:cs="Courier New"/>
          <w:b/>
          <w:bCs/>
          <w:sz w:val="21"/>
          <w:szCs w:val="22"/>
        </w:rPr>
        <w:t>在全球露天矿区部署光伏系统以实现清洁能源转型</w:t>
      </w:r>
      <w:r>
        <w:rPr>
          <w:rFonts w:ascii="Times" w:eastAsia="楷体" w:hAnsi="Times" w:cs="Courier New" w:hint="eastAsia"/>
          <w:b/>
          <w:bCs/>
          <w:sz w:val="21"/>
          <w:szCs w:val="22"/>
        </w:rPr>
        <w:t>》</w:t>
      </w:r>
    </w:p>
    <w:p w14:paraId="44FF7CD5" w14:textId="77777777" w:rsidR="00E807B6" w:rsidRPr="003A3CF5" w:rsidRDefault="00E807B6" w:rsidP="00E807B6">
      <w:pPr>
        <w:rPr>
          <w:rFonts w:ascii="Times" w:eastAsia="楷体" w:hAnsi="Times" w:cs="Courier New"/>
          <w:sz w:val="21"/>
          <w:szCs w:val="22"/>
        </w:rPr>
      </w:pPr>
      <w:r w:rsidRPr="003A3CF5">
        <w:rPr>
          <w:rFonts w:ascii="Times" w:eastAsia="楷体" w:hAnsi="Times" w:cs="Courier New"/>
          <w:b/>
          <w:bCs/>
          <w:sz w:val="21"/>
          <w:szCs w:val="22"/>
        </w:rPr>
        <w:t>数据</w:t>
      </w:r>
      <w:proofErr w:type="gramStart"/>
      <w:r w:rsidRPr="003A3CF5">
        <w:rPr>
          <w:rFonts w:ascii="Times" w:eastAsia="楷体" w:hAnsi="Times" w:cs="Courier New"/>
          <w:b/>
          <w:bCs/>
          <w:sz w:val="21"/>
          <w:szCs w:val="22"/>
        </w:rPr>
        <w:t>来源</w:t>
      </w:r>
      <w:r w:rsidRPr="003A3CF5">
        <w:rPr>
          <w:rFonts w:ascii="Times" w:eastAsia="楷体" w:hAnsi="Times" w:cs="Courier New"/>
          <w:sz w:val="21"/>
          <w:szCs w:val="22"/>
        </w:rPr>
        <w:t>:</w:t>
      </w:r>
      <w:proofErr w:type="gramEnd"/>
      <w:r w:rsidRPr="003A3CF5">
        <w:rPr>
          <w:rFonts w:ascii="Times" w:eastAsia="楷体" w:hAnsi="Times" w:cs="Courier New"/>
          <w:sz w:val="21"/>
          <w:szCs w:val="22"/>
        </w:rPr>
        <w:t xml:space="preserve"> </w:t>
      </w:r>
      <w:r w:rsidRPr="003A3CF5">
        <w:rPr>
          <w:rFonts w:ascii="Times" w:eastAsia="楷体" w:hAnsi="Times" w:cs="Courier New"/>
          <w:sz w:val="21"/>
          <w:szCs w:val="22"/>
        </w:rPr>
        <w:t>该研究的数据来源非常广泛，主要依赖于全球尺度的遥感和地理信息数据，并通过谷歌地球引擎（</w:t>
      </w:r>
      <w:r w:rsidRPr="003A3CF5">
        <w:rPr>
          <w:rFonts w:ascii="Times" w:eastAsia="楷体" w:hAnsi="Times" w:cs="Courier New"/>
          <w:sz w:val="21"/>
          <w:szCs w:val="22"/>
        </w:rPr>
        <w:t>Google Earth Engine, GEE</w:t>
      </w:r>
      <w:r w:rsidRPr="003A3CF5">
        <w:rPr>
          <w:rFonts w:ascii="Times" w:eastAsia="楷体" w:hAnsi="Times" w:cs="Courier New"/>
          <w:sz w:val="21"/>
          <w:szCs w:val="22"/>
        </w:rPr>
        <w:t>）平台进行整合和处理。具体包括：</w:t>
      </w:r>
    </w:p>
    <w:p w14:paraId="1864C0BD" w14:textId="77777777" w:rsidR="00E807B6" w:rsidRPr="003A3CF5" w:rsidRDefault="00E807B6" w:rsidP="00E807B6">
      <w:pPr>
        <w:numPr>
          <w:ilvl w:val="0"/>
          <w:numId w:val="1"/>
        </w:numPr>
        <w:rPr>
          <w:rFonts w:ascii="Times" w:eastAsia="楷体" w:hAnsi="Times" w:cs="Courier New"/>
          <w:sz w:val="21"/>
          <w:szCs w:val="22"/>
        </w:rPr>
      </w:pPr>
      <w:r w:rsidRPr="003A3CF5">
        <w:rPr>
          <w:rFonts w:ascii="Times" w:eastAsia="楷体" w:hAnsi="Times" w:cs="Courier New"/>
          <w:b/>
          <w:bCs/>
          <w:sz w:val="21"/>
          <w:szCs w:val="22"/>
        </w:rPr>
        <w:t>全球露天矿区边界数据</w:t>
      </w:r>
      <w:r w:rsidRPr="003A3CF5">
        <w:rPr>
          <w:rFonts w:ascii="Times" w:eastAsia="楷体" w:hAnsi="Times" w:cs="Courier New"/>
          <w:sz w:val="21"/>
          <w:szCs w:val="22"/>
        </w:rPr>
        <w:t>：整合自两个全球矿区数据库，识别出全球超过</w:t>
      </w:r>
      <w:r w:rsidRPr="003A3CF5">
        <w:rPr>
          <w:rFonts w:ascii="Times" w:eastAsia="楷体" w:hAnsi="Times" w:cs="Courier New"/>
          <w:sz w:val="21"/>
          <w:szCs w:val="22"/>
        </w:rPr>
        <w:t>6</w:t>
      </w:r>
      <w:r w:rsidRPr="003A3CF5">
        <w:rPr>
          <w:rFonts w:ascii="Times" w:eastAsia="楷体" w:hAnsi="Times" w:cs="Courier New"/>
          <w:sz w:val="21"/>
          <w:szCs w:val="22"/>
        </w:rPr>
        <w:t>万个露天矿区。</w:t>
      </w:r>
    </w:p>
    <w:p w14:paraId="6C42BF77" w14:textId="77777777" w:rsidR="00E807B6" w:rsidRPr="003A3CF5" w:rsidRDefault="00E807B6" w:rsidP="00E807B6">
      <w:pPr>
        <w:numPr>
          <w:ilvl w:val="0"/>
          <w:numId w:val="1"/>
        </w:numPr>
        <w:rPr>
          <w:rFonts w:ascii="Times" w:eastAsia="楷体" w:hAnsi="Times" w:cs="Courier New"/>
          <w:sz w:val="21"/>
          <w:szCs w:val="22"/>
        </w:rPr>
      </w:pPr>
      <w:r w:rsidRPr="003A3CF5">
        <w:rPr>
          <w:rFonts w:ascii="Times" w:eastAsia="楷体" w:hAnsi="Times" w:cs="Courier New"/>
          <w:b/>
          <w:bCs/>
          <w:sz w:val="21"/>
          <w:szCs w:val="22"/>
        </w:rPr>
        <w:t>全球光伏电站分布数据</w:t>
      </w:r>
      <w:r w:rsidRPr="003A3CF5">
        <w:rPr>
          <w:rFonts w:ascii="Times" w:eastAsia="楷体" w:hAnsi="Times" w:cs="Courier New"/>
          <w:sz w:val="21"/>
          <w:szCs w:val="22"/>
        </w:rPr>
        <w:t>：来自一个已发表的全球光伏设施清单。</w:t>
      </w:r>
    </w:p>
    <w:p w14:paraId="57B829E5" w14:textId="77777777" w:rsidR="00E807B6" w:rsidRPr="003A3CF5" w:rsidRDefault="00E807B6" w:rsidP="00E807B6">
      <w:pPr>
        <w:numPr>
          <w:ilvl w:val="0"/>
          <w:numId w:val="1"/>
        </w:numPr>
        <w:rPr>
          <w:rFonts w:ascii="Times" w:eastAsia="楷体" w:hAnsi="Times" w:cs="Courier New"/>
          <w:sz w:val="21"/>
          <w:szCs w:val="22"/>
        </w:rPr>
      </w:pPr>
      <w:r w:rsidRPr="003A3CF5">
        <w:rPr>
          <w:rFonts w:ascii="Times" w:eastAsia="楷体" w:hAnsi="Times" w:cs="Courier New"/>
          <w:b/>
          <w:bCs/>
          <w:sz w:val="21"/>
          <w:szCs w:val="22"/>
        </w:rPr>
        <w:t>多源遥感和地理空间数据</w:t>
      </w:r>
      <w:r w:rsidRPr="003A3CF5">
        <w:rPr>
          <w:rFonts w:ascii="Times" w:eastAsia="楷体" w:hAnsi="Times" w:cs="Courier New"/>
          <w:sz w:val="21"/>
          <w:szCs w:val="22"/>
        </w:rPr>
        <w:t>：用作模型输入的特征变量，涵盖物理地理（如地形、水体）、社会经济（如人口、</w:t>
      </w:r>
      <w:r w:rsidRPr="003A3CF5">
        <w:rPr>
          <w:rFonts w:ascii="Times" w:eastAsia="楷体" w:hAnsi="Times" w:cs="Courier New"/>
          <w:sz w:val="21"/>
          <w:szCs w:val="22"/>
        </w:rPr>
        <w:t>GDP</w:t>
      </w:r>
      <w:r w:rsidRPr="003A3CF5">
        <w:rPr>
          <w:rFonts w:ascii="Times" w:eastAsia="楷体" w:hAnsi="Times" w:cs="Courier New"/>
          <w:sz w:val="21"/>
          <w:szCs w:val="22"/>
        </w:rPr>
        <w:t>、电网距离）和资源条件（如太阳辐射、气温）等多个方面。这些数据来自</w:t>
      </w:r>
      <w:r w:rsidRPr="003A3CF5">
        <w:rPr>
          <w:rFonts w:ascii="Times" w:eastAsia="楷体" w:hAnsi="Times" w:cs="Courier New"/>
          <w:sz w:val="21"/>
          <w:szCs w:val="22"/>
        </w:rPr>
        <w:t>NASA</w:t>
      </w:r>
      <w:r w:rsidRPr="003A3CF5">
        <w:rPr>
          <w:rFonts w:ascii="Times" w:eastAsia="楷体" w:hAnsi="Times" w:cs="Courier New"/>
          <w:sz w:val="21"/>
          <w:szCs w:val="22"/>
        </w:rPr>
        <w:t>、</w:t>
      </w:r>
      <w:r w:rsidRPr="003A3CF5">
        <w:rPr>
          <w:rFonts w:ascii="Times" w:eastAsia="楷体" w:hAnsi="Times" w:cs="Courier New"/>
          <w:sz w:val="21"/>
          <w:szCs w:val="22"/>
        </w:rPr>
        <w:t>ESA</w:t>
      </w:r>
      <w:r w:rsidRPr="003A3CF5">
        <w:rPr>
          <w:rFonts w:ascii="Times" w:eastAsia="楷体" w:hAnsi="Times" w:cs="Courier New"/>
          <w:sz w:val="21"/>
          <w:szCs w:val="22"/>
        </w:rPr>
        <w:t>（欧洲空间局）、世界银行等多个权威机构的公开数据集。</w:t>
      </w:r>
    </w:p>
    <w:p w14:paraId="4F2C2529" w14:textId="77777777" w:rsidR="00E807B6" w:rsidRPr="003A3CF5" w:rsidRDefault="00E807B6" w:rsidP="00E807B6">
      <w:pPr>
        <w:rPr>
          <w:rFonts w:ascii="Times" w:eastAsia="楷体" w:hAnsi="Times" w:cs="Courier New"/>
          <w:sz w:val="21"/>
          <w:szCs w:val="22"/>
        </w:rPr>
      </w:pPr>
      <w:r w:rsidRPr="003A3CF5">
        <w:rPr>
          <w:rFonts w:ascii="Times" w:eastAsia="楷体" w:hAnsi="Times" w:cs="Courier New"/>
          <w:sz w:val="21"/>
          <w:szCs w:val="22"/>
        </w:rPr>
        <w:t>这篇论文之所以能够发表在《自然</w:t>
      </w:r>
      <w:r w:rsidRPr="003A3CF5">
        <w:rPr>
          <w:rFonts w:ascii="Times" w:eastAsia="楷体" w:hAnsi="Times" w:cs="Courier New"/>
          <w:sz w:val="21"/>
          <w:szCs w:val="22"/>
        </w:rPr>
        <w:t>-</w:t>
      </w:r>
      <w:r w:rsidRPr="003A3CF5">
        <w:rPr>
          <w:rFonts w:ascii="Times" w:eastAsia="楷体" w:hAnsi="Times" w:cs="Courier New"/>
          <w:sz w:val="21"/>
          <w:szCs w:val="22"/>
        </w:rPr>
        <w:t>可持续性》（</w:t>
      </w:r>
      <w:r w:rsidRPr="003A3CF5">
        <w:rPr>
          <w:rFonts w:ascii="Times" w:eastAsia="楷体" w:hAnsi="Times" w:cs="Courier New"/>
          <w:sz w:val="21"/>
          <w:szCs w:val="22"/>
        </w:rPr>
        <w:t>Nature Sustainability</w:t>
      </w:r>
      <w:r w:rsidRPr="003A3CF5">
        <w:rPr>
          <w:rFonts w:ascii="Times" w:eastAsia="楷体" w:hAnsi="Times" w:cs="Courier New"/>
          <w:sz w:val="21"/>
          <w:szCs w:val="22"/>
        </w:rPr>
        <w:t>）这一顶尖期刊上，是因为它以创新的方法解决了一个全球可持续发展中的关键难题，研究成果兼具科学前沿性、巨大的现实应用潜力和明确的政策指导意义。具体原因如下：</w:t>
      </w:r>
    </w:p>
    <w:p w14:paraId="6B9A701B" w14:textId="77777777" w:rsidR="00E807B6" w:rsidRPr="003A3CF5" w:rsidRDefault="00E807B6" w:rsidP="00E807B6">
      <w:pPr>
        <w:rPr>
          <w:rFonts w:ascii="Times" w:eastAsia="楷体" w:hAnsi="Times" w:cs="Courier New"/>
          <w:sz w:val="21"/>
          <w:szCs w:val="22"/>
        </w:rPr>
      </w:pPr>
      <w:r w:rsidRPr="003A3CF5">
        <w:rPr>
          <w:rFonts w:ascii="Times" w:eastAsia="楷体" w:hAnsi="Times" w:cs="Courier New"/>
          <w:sz w:val="21"/>
          <w:szCs w:val="22"/>
        </w:rPr>
        <w:t>首先，</w:t>
      </w:r>
      <w:r w:rsidRPr="003A3CF5">
        <w:rPr>
          <w:rFonts w:ascii="Times" w:eastAsia="楷体" w:hAnsi="Times" w:cs="Courier New"/>
          <w:b/>
          <w:bCs/>
          <w:sz w:val="21"/>
          <w:szCs w:val="22"/>
        </w:rPr>
        <w:t>论文提出了一个极具创意的</w:t>
      </w:r>
      <w:r w:rsidRPr="003A3CF5">
        <w:rPr>
          <w:rFonts w:ascii="Times" w:eastAsia="楷体" w:hAnsi="Times" w:cs="Courier New"/>
          <w:b/>
          <w:bCs/>
          <w:sz w:val="21"/>
          <w:szCs w:val="22"/>
        </w:rPr>
        <w:t>“</w:t>
      </w:r>
      <w:r w:rsidRPr="003A3CF5">
        <w:rPr>
          <w:rFonts w:ascii="Times" w:eastAsia="楷体" w:hAnsi="Times" w:cs="Courier New"/>
          <w:b/>
          <w:bCs/>
          <w:sz w:val="21"/>
          <w:szCs w:val="22"/>
        </w:rPr>
        <w:t>一石二鸟</w:t>
      </w:r>
      <w:r w:rsidRPr="003A3CF5">
        <w:rPr>
          <w:rFonts w:ascii="Times" w:eastAsia="楷体" w:hAnsi="Times" w:cs="Courier New"/>
          <w:b/>
          <w:bCs/>
          <w:sz w:val="21"/>
          <w:szCs w:val="22"/>
        </w:rPr>
        <w:t>”</w:t>
      </w:r>
      <w:r w:rsidRPr="003A3CF5">
        <w:rPr>
          <w:rFonts w:ascii="Times" w:eastAsia="楷体" w:hAnsi="Times" w:cs="Courier New"/>
          <w:b/>
          <w:bCs/>
          <w:sz w:val="21"/>
          <w:szCs w:val="22"/>
        </w:rPr>
        <w:t>解决方案，巧妙地应对了全球能源转型和土地利用冲突两大挑战</w:t>
      </w:r>
      <w:r w:rsidRPr="003A3CF5">
        <w:rPr>
          <w:rFonts w:ascii="Times" w:eastAsia="楷体" w:hAnsi="Times" w:cs="Courier New"/>
          <w:sz w:val="21"/>
          <w:szCs w:val="22"/>
        </w:rPr>
        <w:t>。一方面，大规模发展太阳能是实现气候目标的核心路径，但这需要大量土地，常常会与农业用地、生态保护区产生冲突，引发新的社会和环境问题。另一方面，全球存在大量因采矿而废弃或退化的土地（棕地），这些土地生态功能丧失，修复成本高昂，是环境治理的</w:t>
      </w:r>
      <w:r w:rsidRPr="003A3CF5">
        <w:rPr>
          <w:rFonts w:ascii="Times" w:eastAsia="楷体" w:hAnsi="Times" w:cs="Courier New"/>
          <w:sz w:val="21"/>
          <w:szCs w:val="22"/>
        </w:rPr>
        <w:t>“</w:t>
      </w:r>
      <w:r w:rsidRPr="003A3CF5">
        <w:rPr>
          <w:rFonts w:ascii="Times" w:eastAsia="楷体" w:hAnsi="Times" w:cs="Courier New"/>
          <w:sz w:val="21"/>
          <w:szCs w:val="22"/>
        </w:rPr>
        <w:t>负资产</w:t>
      </w:r>
      <w:r w:rsidRPr="003A3CF5">
        <w:rPr>
          <w:rFonts w:ascii="Times" w:eastAsia="楷体" w:hAnsi="Times" w:cs="Courier New"/>
          <w:sz w:val="21"/>
          <w:szCs w:val="22"/>
        </w:rPr>
        <w:t>”</w:t>
      </w:r>
      <w:r w:rsidRPr="003A3CF5">
        <w:rPr>
          <w:rFonts w:ascii="Times" w:eastAsia="楷体" w:hAnsi="Times" w:cs="Courier New"/>
          <w:sz w:val="21"/>
          <w:szCs w:val="22"/>
        </w:rPr>
        <w:t>。本文创造性地提出将这两者结合，即利用废弃矿区这些</w:t>
      </w:r>
      <w:r w:rsidRPr="003A3CF5">
        <w:rPr>
          <w:rFonts w:ascii="Times" w:eastAsia="楷体" w:hAnsi="Times" w:cs="Courier New"/>
          <w:sz w:val="21"/>
          <w:szCs w:val="22"/>
        </w:rPr>
        <w:t>“</w:t>
      </w:r>
      <w:r w:rsidRPr="003A3CF5">
        <w:rPr>
          <w:rFonts w:ascii="Times" w:eastAsia="楷体" w:hAnsi="Times" w:cs="Courier New"/>
          <w:sz w:val="21"/>
          <w:szCs w:val="22"/>
        </w:rPr>
        <w:t>负资产</w:t>
      </w:r>
      <w:r w:rsidRPr="003A3CF5">
        <w:rPr>
          <w:rFonts w:ascii="Times" w:eastAsia="楷体" w:hAnsi="Times" w:cs="Courier New"/>
          <w:sz w:val="21"/>
          <w:szCs w:val="22"/>
        </w:rPr>
        <w:t>”</w:t>
      </w:r>
      <w:r w:rsidRPr="003A3CF5">
        <w:rPr>
          <w:rFonts w:ascii="Times" w:eastAsia="楷体" w:hAnsi="Times" w:cs="Courier New"/>
          <w:sz w:val="21"/>
          <w:szCs w:val="22"/>
        </w:rPr>
        <w:t>来承载太阳能光伏这一</w:t>
      </w:r>
      <w:r w:rsidRPr="003A3CF5">
        <w:rPr>
          <w:rFonts w:ascii="Times" w:eastAsia="楷体" w:hAnsi="Times" w:cs="Courier New"/>
          <w:sz w:val="21"/>
          <w:szCs w:val="22"/>
        </w:rPr>
        <w:t>“</w:t>
      </w:r>
      <w:r w:rsidRPr="003A3CF5">
        <w:rPr>
          <w:rFonts w:ascii="Times" w:eastAsia="楷体" w:hAnsi="Times" w:cs="Courier New"/>
          <w:sz w:val="21"/>
          <w:szCs w:val="22"/>
        </w:rPr>
        <w:t>正资产</w:t>
      </w:r>
      <w:r w:rsidRPr="003A3CF5">
        <w:rPr>
          <w:rFonts w:ascii="Times" w:eastAsia="楷体" w:hAnsi="Times" w:cs="Courier New"/>
          <w:sz w:val="21"/>
          <w:szCs w:val="22"/>
        </w:rPr>
        <w:t>”</w:t>
      </w:r>
      <w:r w:rsidRPr="003A3CF5">
        <w:rPr>
          <w:rFonts w:ascii="Times" w:eastAsia="楷体" w:hAnsi="Times" w:cs="Courier New"/>
          <w:sz w:val="21"/>
          <w:szCs w:val="22"/>
        </w:rPr>
        <w:t>，既为清洁能源找到了宝贵的空间，又为废弃土地的再利用提供了有经济价值的途径。这种将两个独立的可持续发展难题转化为一个协同解决方案的创新思路，是论文最核心的亮点，完美契合了《自然</w:t>
      </w:r>
      <w:r w:rsidRPr="003A3CF5">
        <w:rPr>
          <w:rFonts w:ascii="Times" w:eastAsia="楷体" w:hAnsi="Times" w:cs="Courier New"/>
          <w:sz w:val="21"/>
          <w:szCs w:val="22"/>
        </w:rPr>
        <w:t>-</w:t>
      </w:r>
      <w:r w:rsidRPr="003A3CF5">
        <w:rPr>
          <w:rFonts w:ascii="Times" w:eastAsia="楷体" w:hAnsi="Times" w:cs="Courier New"/>
          <w:sz w:val="21"/>
          <w:szCs w:val="22"/>
        </w:rPr>
        <w:t>可持续性》期刊关注跨领域、系统性解决方案的定位。</w:t>
      </w:r>
    </w:p>
    <w:p w14:paraId="1ECBB053" w14:textId="77777777" w:rsidR="00E807B6" w:rsidRPr="003A3CF5" w:rsidRDefault="00E807B6" w:rsidP="00E807B6">
      <w:pPr>
        <w:rPr>
          <w:rFonts w:ascii="Times" w:eastAsia="楷体" w:hAnsi="Times" w:cs="Courier New"/>
          <w:sz w:val="21"/>
          <w:szCs w:val="22"/>
        </w:rPr>
      </w:pPr>
      <w:r w:rsidRPr="003A3CF5">
        <w:rPr>
          <w:rFonts w:ascii="Times" w:eastAsia="楷体" w:hAnsi="Times" w:cs="Courier New"/>
          <w:sz w:val="21"/>
          <w:szCs w:val="22"/>
        </w:rPr>
        <w:t>其次，</w:t>
      </w:r>
      <w:r w:rsidRPr="003A3CF5">
        <w:rPr>
          <w:rFonts w:ascii="Times" w:eastAsia="楷体" w:hAnsi="Times" w:cs="Courier New"/>
          <w:b/>
          <w:bCs/>
          <w:sz w:val="21"/>
          <w:szCs w:val="22"/>
        </w:rPr>
        <w:t>研究在全球尺度上进行了前所未有的定量评估，其规模和深度远超以往</w:t>
      </w:r>
      <w:r w:rsidRPr="003A3CF5">
        <w:rPr>
          <w:rFonts w:ascii="Times" w:eastAsia="楷体" w:hAnsi="Times" w:cs="Courier New"/>
          <w:sz w:val="21"/>
          <w:szCs w:val="22"/>
        </w:rPr>
        <w:t>。以往关于在矿区部署光伏的研究多停留在区域性案例或小范围试点层面。本文首次从全球视角，对全球超过</w:t>
      </w:r>
      <w:r w:rsidRPr="003A3CF5">
        <w:rPr>
          <w:rFonts w:ascii="Times" w:eastAsia="楷体" w:hAnsi="Times" w:cs="Courier New"/>
          <w:sz w:val="21"/>
          <w:szCs w:val="22"/>
        </w:rPr>
        <w:t>6</w:t>
      </w:r>
      <w:r w:rsidRPr="003A3CF5">
        <w:rPr>
          <w:rFonts w:ascii="Times" w:eastAsia="楷体" w:hAnsi="Times" w:cs="Courier New"/>
          <w:sz w:val="21"/>
          <w:szCs w:val="22"/>
        </w:rPr>
        <w:t>万个露天矿区的太阳能发电潜力进行了系统性的、数据驱动的评估。研究发现，全球废弃矿区的总面积约为</w:t>
      </w:r>
      <w:r w:rsidRPr="003A3CF5">
        <w:rPr>
          <w:rFonts w:ascii="Times" w:eastAsia="楷体" w:hAnsi="Times" w:cs="Courier New"/>
          <w:sz w:val="21"/>
          <w:szCs w:val="22"/>
        </w:rPr>
        <w:t>4.8</w:t>
      </w:r>
      <w:r w:rsidRPr="003A3CF5">
        <w:rPr>
          <w:rFonts w:ascii="Times" w:eastAsia="楷体" w:hAnsi="Times" w:cs="Courier New"/>
          <w:sz w:val="21"/>
          <w:szCs w:val="22"/>
        </w:rPr>
        <w:t>万平方公里，其太阳能发电潜力（</w:t>
      </w:r>
      <w:r w:rsidRPr="003A3CF5">
        <w:rPr>
          <w:rFonts w:ascii="Times" w:eastAsia="楷体" w:hAnsi="Times" w:cs="Courier New"/>
          <w:sz w:val="21"/>
          <w:szCs w:val="22"/>
        </w:rPr>
        <w:t>4,764 TWh/</w:t>
      </w:r>
      <w:r w:rsidRPr="003A3CF5">
        <w:rPr>
          <w:rFonts w:ascii="Times" w:eastAsia="楷体" w:hAnsi="Times" w:cs="Courier New"/>
          <w:sz w:val="21"/>
          <w:szCs w:val="22"/>
        </w:rPr>
        <w:t>年）足以满足预计的</w:t>
      </w:r>
      <w:r w:rsidRPr="003A3CF5">
        <w:rPr>
          <w:rFonts w:ascii="Times" w:eastAsia="楷体" w:hAnsi="Times" w:cs="Courier New"/>
          <w:sz w:val="21"/>
          <w:szCs w:val="22"/>
        </w:rPr>
        <w:t>2050</w:t>
      </w:r>
      <w:r w:rsidRPr="003A3CF5">
        <w:rPr>
          <w:rFonts w:ascii="Times" w:eastAsia="楷体" w:hAnsi="Times" w:cs="Courier New"/>
          <w:sz w:val="21"/>
          <w:szCs w:val="22"/>
        </w:rPr>
        <w:t>年全球电力需求。这种在全球尺度上量化一个尚未被充分认识的巨大潜力的工作，不仅展示了该方案的宏大前景，也为全球能源规划提供了全新的、颠覆性的数据支持。</w:t>
      </w:r>
    </w:p>
    <w:p w14:paraId="07382504" w14:textId="77777777" w:rsidR="00E807B6" w:rsidRPr="003A3CF5" w:rsidRDefault="00E807B6" w:rsidP="00E807B6">
      <w:pPr>
        <w:rPr>
          <w:rFonts w:ascii="Times" w:eastAsia="楷体" w:hAnsi="Times" w:cs="Courier New"/>
          <w:sz w:val="21"/>
          <w:szCs w:val="22"/>
        </w:rPr>
      </w:pPr>
      <w:r w:rsidRPr="003A3CF5">
        <w:rPr>
          <w:rFonts w:ascii="Times" w:eastAsia="楷体" w:hAnsi="Times" w:cs="Courier New"/>
          <w:sz w:val="21"/>
          <w:szCs w:val="22"/>
        </w:rPr>
        <w:t>第三，</w:t>
      </w:r>
      <w:r w:rsidRPr="003A3CF5">
        <w:rPr>
          <w:rFonts w:ascii="Times" w:eastAsia="楷体" w:hAnsi="Times" w:cs="Courier New"/>
          <w:b/>
          <w:bCs/>
          <w:sz w:val="21"/>
          <w:szCs w:val="22"/>
        </w:rPr>
        <w:t>论文采用了先进的深度学习模型，克服了传统评估方法的局限性</w:t>
      </w:r>
      <w:r w:rsidRPr="003A3CF5">
        <w:rPr>
          <w:rFonts w:ascii="Times" w:eastAsia="楷体" w:hAnsi="Times" w:cs="Courier New"/>
          <w:sz w:val="21"/>
          <w:szCs w:val="22"/>
        </w:rPr>
        <w:t>。传统的选址分析多依赖于主观的阈值设定或多标准决策方法，这些方法难以处理复杂的非线性关系和政策、市场等</w:t>
      </w:r>
      <w:r w:rsidRPr="003A3CF5">
        <w:rPr>
          <w:rFonts w:ascii="Times" w:eastAsia="楷体" w:hAnsi="Times" w:cs="Courier New"/>
          <w:sz w:val="21"/>
          <w:szCs w:val="22"/>
        </w:rPr>
        <w:t>“</w:t>
      </w:r>
      <w:r w:rsidRPr="003A3CF5">
        <w:rPr>
          <w:rFonts w:ascii="Times" w:eastAsia="楷体" w:hAnsi="Times" w:cs="Courier New"/>
          <w:sz w:val="21"/>
          <w:szCs w:val="22"/>
        </w:rPr>
        <w:t>软</w:t>
      </w:r>
      <w:r w:rsidRPr="003A3CF5">
        <w:rPr>
          <w:rFonts w:ascii="Times" w:eastAsia="楷体" w:hAnsi="Times" w:cs="Courier New"/>
          <w:sz w:val="21"/>
          <w:szCs w:val="22"/>
        </w:rPr>
        <w:t>”</w:t>
      </w:r>
      <w:r w:rsidRPr="003A3CF5">
        <w:rPr>
          <w:rFonts w:ascii="Times" w:eastAsia="楷体" w:hAnsi="Times" w:cs="Courier New"/>
          <w:sz w:val="21"/>
          <w:szCs w:val="22"/>
        </w:rPr>
        <w:t>因素。本文创新性地使用了一种</w:t>
      </w:r>
      <w:r w:rsidRPr="003A3CF5">
        <w:rPr>
          <w:rFonts w:ascii="Times" w:eastAsia="楷体" w:hAnsi="Times" w:cs="Courier New"/>
          <w:sz w:val="21"/>
          <w:szCs w:val="22"/>
        </w:rPr>
        <w:t>**</w:t>
      </w:r>
      <w:r w:rsidRPr="003A3CF5">
        <w:rPr>
          <w:rFonts w:ascii="Times" w:eastAsia="楷体" w:hAnsi="Times" w:cs="Courier New"/>
          <w:sz w:val="21"/>
          <w:szCs w:val="22"/>
        </w:rPr>
        <w:t>残差人工神经网络（</w:t>
      </w:r>
      <w:r w:rsidRPr="003A3CF5">
        <w:rPr>
          <w:rFonts w:ascii="Times" w:eastAsia="楷体" w:hAnsi="Times" w:cs="Courier New"/>
          <w:sz w:val="21"/>
          <w:szCs w:val="22"/>
        </w:rPr>
        <w:t>RANN</w:t>
      </w:r>
      <w:r w:rsidRPr="003A3CF5">
        <w:rPr>
          <w:rFonts w:ascii="Times" w:eastAsia="楷体" w:hAnsi="Times" w:cs="Courier New"/>
          <w:sz w:val="21"/>
          <w:szCs w:val="22"/>
        </w:rPr>
        <w:t>）</w:t>
      </w:r>
      <w:r w:rsidRPr="003A3CF5">
        <w:rPr>
          <w:rFonts w:ascii="Times" w:eastAsia="楷体" w:hAnsi="Times" w:cs="Courier New"/>
          <w:sz w:val="21"/>
          <w:szCs w:val="22"/>
        </w:rPr>
        <w:t>**</w:t>
      </w:r>
      <w:r w:rsidRPr="003A3CF5">
        <w:rPr>
          <w:rFonts w:ascii="Times" w:eastAsia="楷体" w:hAnsi="Times" w:cs="Courier New"/>
          <w:sz w:val="21"/>
          <w:szCs w:val="22"/>
        </w:rPr>
        <w:t>模型，</w:t>
      </w:r>
      <w:r w:rsidRPr="003A3CF5">
        <w:rPr>
          <w:rFonts w:ascii="Times" w:eastAsia="楷体" w:hAnsi="Times" w:cs="Courier New"/>
          <w:sz w:val="21"/>
          <w:szCs w:val="22"/>
        </w:rPr>
        <w:lastRenderedPageBreak/>
        <w:t>通过学习全球现有光伏电站的选址规律，来预测在不同矿区部署光伏的可能性。这种方法能够综合考虑自然、经济、社会等</w:t>
      </w:r>
      <w:r w:rsidRPr="003A3CF5">
        <w:rPr>
          <w:rFonts w:ascii="Times" w:eastAsia="楷体" w:hAnsi="Times" w:cs="Courier New"/>
          <w:sz w:val="21"/>
          <w:szCs w:val="22"/>
        </w:rPr>
        <w:t>16</w:t>
      </w:r>
      <w:r w:rsidRPr="003A3CF5">
        <w:rPr>
          <w:rFonts w:ascii="Times" w:eastAsia="楷体" w:hAnsi="Times" w:cs="Courier New"/>
          <w:sz w:val="21"/>
          <w:szCs w:val="22"/>
        </w:rPr>
        <w:t>个空间变量，并捕捉它们之间复杂的相互作用，从而得出一个更客观、更精准的</w:t>
      </w:r>
      <w:r w:rsidRPr="003A3CF5">
        <w:rPr>
          <w:rFonts w:ascii="Times" w:eastAsia="楷体" w:hAnsi="Times" w:cs="Courier New"/>
          <w:sz w:val="21"/>
          <w:szCs w:val="22"/>
        </w:rPr>
        <w:t>“</w:t>
      </w:r>
      <w:r w:rsidRPr="003A3CF5">
        <w:rPr>
          <w:rFonts w:ascii="Times" w:eastAsia="楷体" w:hAnsi="Times" w:cs="Courier New"/>
          <w:sz w:val="21"/>
          <w:szCs w:val="22"/>
        </w:rPr>
        <w:t>部署概率</w:t>
      </w:r>
      <w:r w:rsidRPr="003A3CF5">
        <w:rPr>
          <w:rFonts w:ascii="Times" w:eastAsia="楷体" w:hAnsi="Times" w:cs="Courier New"/>
          <w:sz w:val="21"/>
          <w:szCs w:val="22"/>
        </w:rPr>
        <w:t>”</w:t>
      </w:r>
      <w:r w:rsidRPr="003A3CF5">
        <w:rPr>
          <w:rFonts w:ascii="Times" w:eastAsia="楷体" w:hAnsi="Times" w:cs="Courier New"/>
          <w:sz w:val="21"/>
          <w:szCs w:val="22"/>
        </w:rPr>
        <w:t>。这不仅是方法论上的一个重要进步，也使得评估结果更加贴近现实，能够解释为何有些太阳能资源丰富的地区（如非洲）光伏发展反而滞后，而这背后是基础设施和政策等因素在起作用。</w:t>
      </w:r>
    </w:p>
    <w:p w14:paraId="0FF0BB29" w14:textId="77777777" w:rsidR="00E807B6" w:rsidRPr="003A3CF5" w:rsidRDefault="00E807B6" w:rsidP="00E807B6">
      <w:pPr>
        <w:rPr>
          <w:rFonts w:ascii="Times" w:eastAsia="楷体" w:hAnsi="Times" w:cs="Courier New"/>
          <w:sz w:val="21"/>
          <w:szCs w:val="22"/>
        </w:rPr>
      </w:pPr>
      <w:r w:rsidRPr="003A3CF5">
        <w:rPr>
          <w:rFonts w:ascii="Times" w:eastAsia="楷体" w:hAnsi="Times" w:cs="Courier New"/>
          <w:sz w:val="21"/>
          <w:szCs w:val="22"/>
        </w:rPr>
        <w:t>最后，</w:t>
      </w:r>
      <w:r w:rsidRPr="003A3CF5">
        <w:rPr>
          <w:rFonts w:ascii="Times" w:eastAsia="楷体" w:hAnsi="Times" w:cs="Courier New"/>
          <w:b/>
          <w:bCs/>
          <w:sz w:val="21"/>
          <w:szCs w:val="22"/>
        </w:rPr>
        <w:t>研究不仅评估了</w:t>
      </w:r>
      <w:r w:rsidRPr="003A3CF5">
        <w:rPr>
          <w:rFonts w:ascii="Times" w:eastAsia="楷体" w:hAnsi="Times" w:cs="Courier New"/>
          <w:b/>
          <w:bCs/>
          <w:sz w:val="21"/>
          <w:szCs w:val="22"/>
        </w:rPr>
        <w:t>“</w:t>
      </w:r>
      <w:r w:rsidRPr="003A3CF5">
        <w:rPr>
          <w:rFonts w:ascii="Times" w:eastAsia="楷体" w:hAnsi="Times" w:cs="Courier New"/>
          <w:b/>
          <w:bCs/>
          <w:sz w:val="21"/>
          <w:szCs w:val="22"/>
        </w:rPr>
        <w:t>潜力</w:t>
      </w:r>
      <w:r w:rsidRPr="003A3CF5">
        <w:rPr>
          <w:rFonts w:ascii="Times" w:eastAsia="楷体" w:hAnsi="Times" w:cs="Courier New"/>
          <w:b/>
          <w:bCs/>
          <w:sz w:val="21"/>
          <w:szCs w:val="22"/>
        </w:rPr>
        <w:t>”</w:t>
      </w:r>
      <w:r w:rsidRPr="003A3CF5">
        <w:rPr>
          <w:rFonts w:ascii="Times" w:eastAsia="楷体" w:hAnsi="Times" w:cs="Courier New"/>
          <w:b/>
          <w:bCs/>
          <w:sz w:val="21"/>
          <w:szCs w:val="22"/>
        </w:rPr>
        <w:t>，更提供了动态的、面向未来的</w:t>
      </w:r>
      <w:r w:rsidRPr="003A3CF5">
        <w:rPr>
          <w:rFonts w:ascii="Times" w:eastAsia="楷体" w:hAnsi="Times" w:cs="Courier New"/>
          <w:b/>
          <w:bCs/>
          <w:sz w:val="21"/>
          <w:szCs w:val="22"/>
        </w:rPr>
        <w:t>“</w:t>
      </w:r>
      <w:r w:rsidRPr="003A3CF5">
        <w:rPr>
          <w:rFonts w:ascii="Times" w:eastAsia="楷体" w:hAnsi="Times" w:cs="Courier New"/>
          <w:b/>
          <w:bCs/>
          <w:sz w:val="21"/>
          <w:szCs w:val="22"/>
        </w:rPr>
        <w:t>部署路线图</w:t>
      </w:r>
      <w:r w:rsidRPr="003A3CF5">
        <w:rPr>
          <w:rFonts w:ascii="Times" w:eastAsia="楷体" w:hAnsi="Times" w:cs="Courier New"/>
          <w:b/>
          <w:bCs/>
          <w:sz w:val="21"/>
          <w:szCs w:val="22"/>
        </w:rPr>
        <w:t>”</w:t>
      </w:r>
      <w:r w:rsidRPr="003A3CF5">
        <w:rPr>
          <w:rFonts w:ascii="Times" w:eastAsia="楷体" w:hAnsi="Times" w:cs="Courier New"/>
          <w:b/>
          <w:bCs/>
          <w:sz w:val="21"/>
          <w:szCs w:val="22"/>
        </w:rPr>
        <w:t>，具有极强的政策指导意义</w:t>
      </w:r>
      <w:r w:rsidRPr="003A3CF5">
        <w:rPr>
          <w:rFonts w:ascii="Times" w:eastAsia="楷体" w:hAnsi="Times" w:cs="Courier New"/>
          <w:sz w:val="21"/>
          <w:szCs w:val="22"/>
        </w:rPr>
        <w:t>。论文没有停留在静态的潜力评估，而是结合了国际能源署（</w:t>
      </w:r>
      <w:r w:rsidRPr="003A3CF5">
        <w:rPr>
          <w:rFonts w:ascii="Times" w:eastAsia="楷体" w:hAnsi="Times" w:cs="Courier New"/>
          <w:sz w:val="21"/>
          <w:szCs w:val="22"/>
        </w:rPr>
        <w:t>EIA</w:t>
      </w:r>
      <w:r w:rsidRPr="003A3CF5">
        <w:rPr>
          <w:rFonts w:ascii="Times" w:eastAsia="楷体" w:hAnsi="Times" w:cs="Courier New"/>
          <w:sz w:val="21"/>
          <w:szCs w:val="22"/>
        </w:rPr>
        <w:t>）对未来能源需求的七种不同情景，模拟了在不同经济增长、技术成本和化石燃料价格下，这些矿区光伏的部署时序和规模。例如，研究发现，在积极的能源转型情景下，甚至需要利用到现有矿区</w:t>
      </w:r>
      <w:r w:rsidRPr="003A3CF5">
        <w:rPr>
          <w:rFonts w:ascii="Times" w:eastAsia="楷体" w:hAnsi="Times" w:cs="Courier New"/>
          <w:sz w:val="21"/>
          <w:szCs w:val="22"/>
        </w:rPr>
        <w:t>106%</w:t>
      </w:r>
      <w:r w:rsidRPr="003A3CF5">
        <w:rPr>
          <w:rFonts w:ascii="Times" w:eastAsia="楷体" w:hAnsi="Times" w:cs="Courier New"/>
          <w:sz w:val="21"/>
          <w:szCs w:val="22"/>
        </w:rPr>
        <w:t>的面积（意味着需要寻找新的废弃土地）。这种动态的情景分析，将一个宏大的构想转化为了可操作的、分阶段的战略规划，为各国政府和能源企业如何战略性地将太阳能扩张与矿区土地复垦相结合，提供了清晰的路线图和决策支持。</w:t>
      </w:r>
    </w:p>
    <w:p w14:paraId="2148C9EC" w14:textId="77777777" w:rsidR="00E807B6" w:rsidRDefault="00E807B6" w:rsidP="00E807B6">
      <w:pPr>
        <w:rPr>
          <w:rFonts w:ascii="Times" w:eastAsia="楷体" w:hAnsi="Times" w:cs="Courier New"/>
          <w:sz w:val="21"/>
          <w:szCs w:val="22"/>
        </w:rPr>
      </w:pPr>
      <w:r w:rsidRPr="003A3CF5">
        <w:rPr>
          <w:rFonts w:ascii="Times" w:eastAsia="楷体" w:hAnsi="Times" w:cs="Courier New"/>
          <w:sz w:val="21"/>
          <w:szCs w:val="22"/>
        </w:rPr>
        <w:t>综上所述，这篇论文凭借其创新的问题解决方案、全球尺度的宏大视野、先进的深度学习建模方法，以及动态的、具有前瞻性的情景分析，为实现清洁能源转型和可持续土地管理提供了一个科学、可行且影响深远的全新路径。其研究成果完美地融合了科学严谨性、技术创新性和现实应用价值，是《自然</w:t>
      </w:r>
      <w:r w:rsidRPr="003A3CF5">
        <w:rPr>
          <w:rFonts w:ascii="Times" w:eastAsia="楷体" w:hAnsi="Times" w:cs="Courier New"/>
          <w:sz w:val="21"/>
          <w:szCs w:val="22"/>
        </w:rPr>
        <w:t>-</w:t>
      </w:r>
      <w:r w:rsidRPr="003A3CF5">
        <w:rPr>
          <w:rFonts w:ascii="Times" w:eastAsia="楷体" w:hAnsi="Times" w:cs="Courier New"/>
          <w:sz w:val="21"/>
          <w:szCs w:val="22"/>
        </w:rPr>
        <w:t>可持续性》所倡导的、能够直接服务于全球可持续发展目标的典范之作。</w:t>
      </w:r>
    </w:p>
    <w:p w14:paraId="50409BAC" w14:textId="77777777" w:rsidR="00F416D1" w:rsidRPr="00E807B6" w:rsidRDefault="00F416D1"/>
    <w:sectPr w:rsidR="00F416D1" w:rsidRPr="00E807B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DFEA7" w14:textId="77777777" w:rsidR="00D363DE" w:rsidRDefault="00D363DE" w:rsidP="00E807B6">
      <w:pPr>
        <w:spacing w:after="0" w:line="240" w:lineRule="auto"/>
        <w:rPr>
          <w:rFonts w:hint="eastAsia"/>
        </w:rPr>
      </w:pPr>
      <w:r>
        <w:separator/>
      </w:r>
    </w:p>
  </w:endnote>
  <w:endnote w:type="continuationSeparator" w:id="0">
    <w:p w14:paraId="1B6F6BB7" w14:textId="77777777" w:rsidR="00D363DE" w:rsidRDefault="00D363DE" w:rsidP="00E807B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7A201" w14:textId="77777777" w:rsidR="00D363DE" w:rsidRDefault="00D363DE" w:rsidP="00E807B6">
      <w:pPr>
        <w:spacing w:after="0" w:line="240" w:lineRule="auto"/>
        <w:rPr>
          <w:rFonts w:hint="eastAsia"/>
        </w:rPr>
      </w:pPr>
      <w:r>
        <w:separator/>
      </w:r>
    </w:p>
  </w:footnote>
  <w:footnote w:type="continuationSeparator" w:id="0">
    <w:p w14:paraId="3B390B9B" w14:textId="77777777" w:rsidR="00D363DE" w:rsidRDefault="00D363DE" w:rsidP="00E807B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7176C"/>
    <w:multiLevelType w:val="multilevel"/>
    <w:tmpl w:val="5E8EC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3195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6D1"/>
    <w:rsid w:val="004239B9"/>
    <w:rsid w:val="00D363DE"/>
    <w:rsid w:val="00E807B6"/>
    <w:rsid w:val="00F416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9AFD4DC-D19D-4155-825A-8E91797F1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807B6"/>
    <w:pPr>
      <w:widowControl w:val="0"/>
    </w:pPr>
  </w:style>
  <w:style w:type="paragraph" w:styleId="1">
    <w:name w:val="heading 1"/>
    <w:basedOn w:val="a"/>
    <w:next w:val="a"/>
    <w:link w:val="10"/>
    <w:uiPriority w:val="9"/>
    <w:qFormat/>
    <w:rsid w:val="00F416D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416D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416D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416D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416D1"/>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F416D1"/>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416D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416D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416D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416D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416D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416D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416D1"/>
    <w:rPr>
      <w:rFonts w:cstheme="majorBidi"/>
      <w:color w:val="2F5496" w:themeColor="accent1" w:themeShade="BF"/>
      <w:sz w:val="28"/>
      <w:szCs w:val="28"/>
    </w:rPr>
  </w:style>
  <w:style w:type="character" w:customStyle="1" w:styleId="50">
    <w:name w:val="标题 5 字符"/>
    <w:basedOn w:val="a0"/>
    <w:link w:val="5"/>
    <w:uiPriority w:val="9"/>
    <w:semiHidden/>
    <w:rsid w:val="00F416D1"/>
    <w:rPr>
      <w:rFonts w:cstheme="majorBidi"/>
      <w:color w:val="2F5496" w:themeColor="accent1" w:themeShade="BF"/>
      <w:sz w:val="24"/>
    </w:rPr>
  </w:style>
  <w:style w:type="character" w:customStyle="1" w:styleId="60">
    <w:name w:val="标题 6 字符"/>
    <w:basedOn w:val="a0"/>
    <w:link w:val="6"/>
    <w:uiPriority w:val="9"/>
    <w:semiHidden/>
    <w:rsid w:val="00F416D1"/>
    <w:rPr>
      <w:rFonts w:cstheme="majorBidi"/>
      <w:b/>
      <w:bCs/>
      <w:color w:val="2F5496" w:themeColor="accent1" w:themeShade="BF"/>
    </w:rPr>
  </w:style>
  <w:style w:type="character" w:customStyle="1" w:styleId="70">
    <w:name w:val="标题 7 字符"/>
    <w:basedOn w:val="a0"/>
    <w:link w:val="7"/>
    <w:uiPriority w:val="9"/>
    <w:semiHidden/>
    <w:rsid w:val="00F416D1"/>
    <w:rPr>
      <w:rFonts w:cstheme="majorBidi"/>
      <w:b/>
      <w:bCs/>
      <w:color w:val="595959" w:themeColor="text1" w:themeTint="A6"/>
    </w:rPr>
  </w:style>
  <w:style w:type="character" w:customStyle="1" w:styleId="80">
    <w:name w:val="标题 8 字符"/>
    <w:basedOn w:val="a0"/>
    <w:link w:val="8"/>
    <w:uiPriority w:val="9"/>
    <w:semiHidden/>
    <w:rsid w:val="00F416D1"/>
    <w:rPr>
      <w:rFonts w:cstheme="majorBidi"/>
      <w:color w:val="595959" w:themeColor="text1" w:themeTint="A6"/>
    </w:rPr>
  </w:style>
  <w:style w:type="character" w:customStyle="1" w:styleId="90">
    <w:name w:val="标题 9 字符"/>
    <w:basedOn w:val="a0"/>
    <w:link w:val="9"/>
    <w:uiPriority w:val="9"/>
    <w:semiHidden/>
    <w:rsid w:val="00F416D1"/>
    <w:rPr>
      <w:rFonts w:eastAsiaTheme="majorEastAsia" w:cstheme="majorBidi"/>
      <w:color w:val="595959" w:themeColor="text1" w:themeTint="A6"/>
    </w:rPr>
  </w:style>
  <w:style w:type="paragraph" w:styleId="a3">
    <w:name w:val="Title"/>
    <w:basedOn w:val="a"/>
    <w:next w:val="a"/>
    <w:link w:val="a4"/>
    <w:uiPriority w:val="10"/>
    <w:qFormat/>
    <w:rsid w:val="00F416D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416D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16D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416D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416D1"/>
    <w:pPr>
      <w:spacing w:before="160"/>
      <w:jc w:val="center"/>
    </w:pPr>
    <w:rPr>
      <w:i/>
      <w:iCs/>
      <w:color w:val="404040" w:themeColor="text1" w:themeTint="BF"/>
    </w:rPr>
  </w:style>
  <w:style w:type="character" w:customStyle="1" w:styleId="a8">
    <w:name w:val="引用 字符"/>
    <w:basedOn w:val="a0"/>
    <w:link w:val="a7"/>
    <w:uiPriority w:val="29"/>
    <w:rsid w:val="00F416D1"/>
    <w:rPr>
      <w:i/>
      <w:iCs/>
      <w:color w:val="404040" w:themeColor="text1" w:themeTint="BF"/>
    </w:rPr>
  </w:style>
  <w:style w:type="paragraph" w:styleId="a9">
    <w:name w:val="List Paragraph"/>
    <w:basedOn w:val="a"/>
    <w:uiPriority w:val="34"/>
    <w:qFormat/>
    <w:rsid w:val="00F416D1"/>
    <w:pPr>
      <w:ind w:left="720"/>
      <w:contextualSpacing/>
    </w:pPr>
  </w:style>
  <w:style w:type="character" w:styleId="aa">
    <w:name w:val="Intense Emphasis"/>
    <w:basedOn w:val="a0"/>
    <w:uiPriority w:val="21"/>
    <w:qFormat/>
    <w:rsid w:val="00F416D1"/>
    <w:rPr>
      <w:i/>
      <w:iCs/>
      <w:color w:val="2F5496" w:themeColor="accent1" w:themeShade="BF"/>
    </w:rPr>
  </w:style>
  <w:style w:type="paragraph" w:styleId="ab">
    <w:name w:val="Intense Quote"/>
    <w:basedOn w:val="a"/>
    <w:next w:val="a"/>
    <w:link w:val="ac"/>
    <w:uiPriority w:val="30"/>
    <w:qFormat/>
    <w:rsid w:val="00F416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416D1"/>
    <w:rPr>
      <w:i/>
      <w:iCs/>
      <w:color w:val="2F5496" w:themeColor="accent1" w:themeShade="BF"/>
    </w:rPr>
  </w:style>
  <w:style w:type="character" w:styleId="ad">
    <w:name w:val="Intense Reference"/>
    <w:basedOn w:val="a0"/>
    <w:uiPriority w:val="32"/>
    <w:qFormat/>
    <w:rsid w:val="00F416D1"/>
    <w:rPr>
      <w:b/>
      <w:bCs/>
      <w:smallCaps/>
      <w:color w:val="2F5496" w:themeColor="accent1" w:themeShade="BF"/>
      <w:spacing w:val="5"/>
    </w:rPr>
  </w:style>
  <w:style w:type="paragraph" w:styleId="ae">
    <w:name w:val="header"/>
    <w:basedOn w:val="a"/>
    <w:link w:val="af"/>
    <w:uiPriority w:val="99"/>
    <w:unhideWhenUsed/>
    <w:rsid w:val="00E807B6"/>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807B6"/>
    <w:rPr>
      <w:sz w:val="18"/>
      <w:szCs w:val="18"/>
    </w:rPr>
  </w:style>
  <w:style w:type="paragraph" w:styleId="af0">
    <w:name w:val="footer"/>
    <w:basedOn w:val="a"/>
    <w:link w:val="af1"/>
    <w:uiPriority w:val="99"/>
    <w:unhideWhenUsed/>
    <w:rsid w:val="00E807B6"/>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807B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878</Words>
  <Characters>958</Characters>
  <Application>Microsoft Office Word</Application>
  <DocSecurity>0</DocSecurity>
  <Lines>28</Lines>
  <Paragraphs>14</Paragraphs>
  <ScaleCrop>false</ScaleCrop>
  <Company/>
  <LinksUpToDate>false</LinksUpToDate>
  <CharactersWithSpaces>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Dayan Guan</dc:creator>
  <cp:keywords/>
  <dc:description/>
  <cp:lastModifiedBy>Dayan Guan</cp:lastModifiedBy>
  <cp:revision>2</cp:revision>
  <dcterms:created xsi:type="dcterms:W3CDTF">2025-08-30T01:13:00Z</dcterms:created>
  <dcterms:modified xsi:type="dcterms:W3CDTF">2025-08-30T01:13:00Z</dcterms:modified>
</cp:coreProperties>
</file>