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F3B31" w14:textId="77777777" w:rsidR="00FD2006" w:rsidRPr="00FD2006" w:rsidRDefault="00FD2006" w:rsidP="00FD2006">
      <w:pPr>
        <w:rPr>
          <w:rFonts w:ascii="楷体" w:eastAsia="楷体" w:hAnsi="楷体" w:hint="eastAsia"/>
          <w:b/>
          <w:bCs/>
          <w:sz w:val="21"/>
          <w:szCs w:val="21"/>
        </w:rPr>
      </w:pPr>
      <w:bookmarkStart w:id="0" w:name="OLE_LINK7"/>
      <w:bookmarkStart w:id="1" w:name="OLE_LINK10"/>
      <w:bookmarkStart w:id="2" w:name="OLE_LINK2"/>
      <w:r w:rsidRPr="00FD2006">
        <w:rPr>
          <w:rFonts w:ascii="楷体" w:eastAsia="楷体" w:hAnsi="楷体"/>
          <w:b/>
          <w:bCs/>
          <w:sz w:val="21"/>
          <w:szCs w:val="21"/>
        </w:rPr>
        <w:t>【PNAS】【2011-05】Using luminosity data as a proxy for economic statistics</w:t>
      </w:r>
      <w:bookmarkEnd w:id="1"/>
      <w:r w:rsidRPr="00FD2006">
        <w:rPr>
          <w:rFonts w:ascii="楷体" w:eastAsia="楷体" w:hAnsi="楷体"/>
          <w:b/>
          <w:bCs/>
          <w:sz w:val="21"/>
          <w:szCs w:val="21"/>
        </w:rPr>
        <w:t xml:space="preserve"> （利用亮度数据作为经济统计的代理指标）</w:t>
      </w:r>
    </w:p>
    <w:p w14:paraId="0CFEB8EC" w14:textId="77777777" w:rsidR="00FD2006" w:rsidRPr="00FD2006" w:rsidRDefault="00FD2006" w:rsidP="00FD2006">
      <w:pPr>
        <w:rPr>
          <w:rFonts w:ascii="楷体" w:eastAsia="楷体" w:hAnsi="楷体" w:hint="eastAsia"/>
          <w:sz w:val="21"/>
          <w:szCs w:val="21"/>
        </w:rPr>
      </w:pPr>
      <w:r w:rsidRPr="00FD2006">
        <w:rPr>
          <w:rFonts w:ascii="楷体" w:eastAsia="楷体" w:hAnsi="楷体"/>
          <w:b/>
          <w:bCs/>
          <w:sz w:val="21"/>
          <w:szCs w:val="21"/>
        </w:rPr>
        <w:t>作者信息:</w:t>
      </w:r>
      <w:r w:rsidRPr="00FD2006">
        <w:rPr>
          <w:rFonts w:ascii="Calibri" w:eastAsia="楷体" w:hAnsi="Calibri" w:cs="Calibri"/>
          <w:sz w:val="21"/>
          <w:szCs w:val="21"/>
        </w:rPr>
        <w:t> </w:t>
      </w:r>
      <w:r w:rsidRPr="00FD2006">
        <w:rPr>
          <w:rFonts w:ascii="楷体" w:eastAsia="楷体" w:hAnsi="楷体"/>
          <w:sz w:val="21"/>
          <w:szCs w:val="21"/>
        </w:rPr>
        <w:t>本研究由耶鲁大学经济学教授、诺贝尔经济学奖得主 William D. Nordhaus 与当时在耶鲁大学的陈希（Xi Chen）共同完成。</w:t>
      </w:r>
    </w:p>
    <w:p w14:paraId="36AE6A64" w14:textId="78A0ACB1" w:rsidR="00FD2006" w:rsidRPr="00FD2006" w:rsidRDefault="00FD2006" w:rsidP="00FD2006">
      <w:pPr>
        <w:rPr>
          <w:rFonts w:ascii="楷体" w:eastAsia="楷体" w:hAnsi="楷体" w:hint="eastAsia"/>
          <w:sz w:val="21"/>
          <w:szCs w:val="21"/>
        </w:rPr>
      </w:pPr>
      <w:r w:rsidRPr="00FD2006">
        <w:rPr>
          <w:rFonts w:ascii="楷体" w:eastAsia="楷体" w:hAnsi="楷体"/>
          <w:b/>
          <w:bCs/>
          <w:sz w:val="21"/>
          <w:szCs w:val="21"/>
        </w:rPr>
        <w:t>数据来源:</w:t>
      </w:r>
      <w:r w:rsidRPr="00FD2006">
        <w:rPr>
          <w:rFonts w:ascii="Calibri" w:eastAsia="楷体" w:hAnsi="Calibri" w:cs="Calibri"/>
          <w:sz w:val="21"/>
          <w:szCs w:val="21"/>
        </w:rPr>
        <w:t> </w:t>
      </w:r>
      <w:r w:rsidRPr="00FD2006">
        <w:rPr>
          <w:rFonts w:ascii="楷体" w:eastAsia="楷体" w:hAnsi="楷体"/>
          <w:sz w:val="21"/>
          <w:szCs w:val="21"/>
        </w:rPr>
        <w:t>研究整合了 1992 年至 2008 年间的 DMSP-OLS 卫星夜间灯光数据（Luminosity），并结合了耶鲁大学 G-Econ 项目提供的全球</w:t>
      </w:r>
      <w:r w:rsidRPr="00FD2006">
        <w:rPr>
          <w:rFonts w:ascii="Calibri" w:eastAsia="楷体" w:hAnsi="Calibri" w:cs="Calibri"/>
          <w:sz w:val="21"/>
          <w:szCs w:val="21"/>
        </w:rPr>
        <w:t> </w:t>
      </w:r>
      <m:oMath>
        <m:sSup>
          <m:sSupPr>
            <m:ctrlPr>
              <w:rPr>
                <w:rFonts w:ascii="Cambria Math" w:eastAsia="楷体" w:hAnsi="Cambria Math"/>
                <w:sz w:val="21"/>
                <w:szCs w:val="21"/>
              </w:rPr>
            </m:ctrlPr>
          </m:sSupPr>
          <m:e>
            <m:r>
              <w:rPr>
                <w:rFonts w:ascii="Cambria Math" w:eastAsia="楷体" w:hAnsi="Cambria Math"/>
                <w:sz w:val="21"/>
                <w:szCs w:val="21"/>
              </w:rPr>
              <m:t>1</m:t>
            </m:r>
          </m:e>
          <m:sup>
            <m:r>
              <w:rPr>
                <w:rFonts w:ascii="Cambria Math" w:eastAsia="楷体" w:hAnsi="Cambria Math"/>
                <w:sz w:val="21"/>
                <w:szCs w:val="21"/>
              </w:rPr>
              <m:t>∘</m:t>
            </m:r>
          </m:sup>
        </m:sSup>
        <m:r>
          <w:rPr>
            <w:rFonts w:ascii="Cambria Math" w:eastAsia="楷体" w:hAnsi="Cambria Math"/>
            <w:sz w:val="21"/>
            <w:szCs w:val="21"/>
          </w:rPr>
          <m:t>×</m:t>
        </m:r>
        <m:sSup>
          <m:sSupPr>
            <m:ctrlPr>
              <w:rPr>
                <w:rFonts w:ascii="Cambria Math" w:eastAsia="楷体" w:hAnsi="Cambria Math"/>
                <w:sz w:val="21"/>
                <w:szCs w:val="21"/>
              </w:rPr>
            </m:ctrlPr>
          </m:sSupPr>
          <m:e>
            <m:r>
              <w:rPr>
                <w:rFonts w:ascii="Cambria Math" w:eastAsia="楷体" w:hAnsi="Cambria Math"/>
                <w:sz w:val="21"/>
                <w:szCs w:val="21"/>
              </w:rPr>
              <m:t>1</m:t>
            </m:r>
          </m:e>
          <m:sup>
            <m:r>
              <w:rPr>
                <w:rFonts w:ascii="Cambria Math" w:eastAsia="楷体" w:hAnsi="Cambria Math"/>
                <w:sz w:val="21"/>
                <w:szCs w:val="21"/>
              </w:rPr>
              <m:t>∘</m:t>
            </m:r>
          </m:sup>
        </m:sSup>
      </m:oMath>
      <w:r w:rsidRPr="00FD2006">
        <w:rPr>
          <w:rFonts w:ascii="Calibri" w:eastAsia="楷体" w:hAnsi="Calibri" w:cs="Calibri"/>
          <w:sz w:val="21"/>
          <w:szCs w:val="21"/>
        </w:rPr>
        <w:t> </w:t>
      </w:r>
      <w:r w:rsidRPr="00FD2006">
        <w:rPr>
          <w:rFonts w:ascii="楷体" w:eastAsia="楷体" w:hAnsi="楷体"/>
          <w:sz w:val="21"/>
          <w:szCs w:val="21"/>
        </w:rPr>
        <w:t>网格化经济数据、宾夕法尼亚大学世界表（Penn World Table）以及世界银行的国家级 GDP 统计数据。</w:t>
      </w:r>
    </w:p>
    <w:p w14:paraId="5C345458" w14:textId="77777777" w:rsidR="00FD2006" w:rsidRPr="00FD2006" w:rsidRDefault="00FD2006" w:rsidP="00FD2006">
      <w:pPr>
        <w:rPr>
          <w:rFonts w:ascii="楷体" w:eastAsia="楷体" w:hAnsi="楷体" w:hint="eastAsia"/>
          <w:sz w:val="21"/>
          <w:szCs w:val="21"/>
        </w:rPr>
      </w:pPr>
      <w:r w:rsidRPr="00FD2006">
        <w:rPr>
          <w:rFonts w:ascii="楷体" w:eastAsia="楷体" w:hAnsi="楷体"/>
          <w:b/>
          <w:bCs/>
          <w:sz w:val="21"/>
          <w:szCs w:val="21"/>
        </w:rPr>
        <w:t>核心贡献:</w:t>
      </w:r>
      <w:r w:rsidRPr="00FD2006">
        <w:rPr>
          <w:rFonts w:ascii="Calibri" w:eastAsia="楷体" w:hAnsi="Calibri" w:cs="Calibri"/>
          <w:sz w:val="21"/>
          <w:szCs w:val="21"/>
        </w:rPr>
        <w:t> </w:t>
      </w:r>
      <w:r w:rsidRPr="00FD2006">
        <w:rPr>
          <w:rFonts w:ascii="楷体" w:eastAsia="楷体" w:hAnsi="楷体"/>
          <w:sz w:val="21"/>
          <w:szCs w:val="21"/>
        </w:rPr>
        <w:t>核心贡献在于建立了一个严谨的统计框架，通过误差测量模型评估了夜间灯光作为经济产出（GDP）代理指标的增量价值。研究将全球国家按统计质量分为 A 到 E 五个等级，并计算了在构建“合成产出指标”时灯光数据应占的最优权重，证明了灯光数据对于统计系统薄弱、缺乏近期普查数据的低收入国家具有显著的补充作用，为填补全球贫困地区数据空白提供了科学依据。</w:t>
      </w:r>
    </w:p>
    <w:p w14:paraId="5FD61F62" w14:textId="101406B5" w:rsidR="00FD2006" w:rsidRPr="00FD2006" w:rsidRDefault="00FD2006" w:rsidP="00FD2006">
      <w:pPr>
        <w:rPr>
          <w:rFonts w:ascii="楷体" w:eastAsia="楷体" w:hAnsi="楷体" w:hint="eastAsia"/>
          <w:sz w:val="21"/>
          <w:szCs w:val="21"/>
        </w:rPr>
      </w:pPr>
      <w:r w:rsidRPr="00FD2006">
        <w:rPr>
          <w:rFonts w:ascii="楷体" w:eastAsia="楷体" w:hAnsi="楷体"/>
          <w:b/>
          <w:bCs/>
          <w:sz w:val="21"/>
          <w:szCs w:val="21"/>
        </w:rPr>
        <w:t>具体指标:</w:t>
      </w:r>
      <w:r w:rsidRPr="00FD2006">
        <w:rPr>
          <w:rFonts w:ascii="Calibri" w:eastAsia="楷体" w:hAnsi="Calibri" w:cs="Calibri"/>
          <w:sz w:val="21"/>
          <w:szCs w:val="21"/>
        </w:rPr>
        <w:t> </w:t>
      </w:r>
      <w:r w:rsidRPr="00FD2006">
        <w:rPr>
          <w:rFonts w:ascii="楷体" w:eastAsia="楷体" w:hAnsi="楷体"/>
          <w:sz w:val="21"/>
          <w:szCs w:val="21"/>
        </w:rPr>
        <w:t>研究主要采用决定系数（</w:t>
      </w:r>
      <m:oMath>
        <m:sSup>
          <m:sSupPr>
            <m:ctrlPr>
              <w:rPr>
                <w:rFonts w:ascii="Cambria Math" w:eastAsia="楷体" w:hAnsi="Cambria Math"/>
                <w:sz w:val="21"/>
                <w:szCs w:val="21"/>
              </w:rPr>
            </m:ctrlPr>
          </m:sSupPr>
          <m:e>
            <m:r>
              <w:rPr>
                <w:rFonts w:ascii="Cambria Math" w:eastAsia="楷体" w:hAnsi="Cambria Math"/>
                <w:sz w:val="21"/>
                <w:szCs w:val="21"/>
              </w:rPr>
              <m:t>R</m:t>
            </m:r>
          </m:e>
          <m:sup>
            <m:r>
              <w:rPr>
                <w:rFonts w:ascii="Cambria Math" w:eastAsia="楷体" w:hAnsi="Cambria Math"/>
                <w:sz w:val="21"/>
                <w:szCs w:val="21"/>
              </w:rPr>
              <m:t>2</m:t>
            </m:r>
          </m:sup>
        </m:sSup>
      </m:oMath>
      <w:r w:rsidRPr="00FD2006">
        <w:rPr>
          <w:rFonts w:ascii="楷体" w:eastAsia="楷体" w:hAnsi="楷体"/>
          <w:sz w:val="21"/>
          <w:szCs w:val="21"/>
        </w:rPr>
        <w:t>）衡量相关性，并引入最优权重（</w:t>
      </w:r>
      <m:oMath>
        <m:r>
          <w:rPr>
            <w:rFonts w:ascii="Cambria Math" w:eastAsia="楷体" w:hAnsi="Cambria Math"/>
            <w:sz w:val="21"/>
            <w:szCs w:val="21"/>
          </w:rPr>
          <m:t>θ</m:t>
        </m:r>
      </m:oMath>
      <w:r w:rsidRPr="00FD2006">
        <w:rPr>
          <w:rFonts w:ascii="楷体" w:eastAsia="楷体" w:hAnsi="楷体"/>
          <w:sz w:val="21"/>
          <w:szCs w:val="21"/>
        </w:rPr>
        <w:t>）来衡量灯光数据的增量价值。结果显示，在国家层面，灯光与 GDP 存在强相关性（此前研究</w:t>
      </w:r>
      <w:r w:rsidRPr="00FD2006">
        <w:rPr>
          <w:rFonts w:ascii="Calibri" w:eastAsia="楷体" w:hAnsi="Calibri" w:cs="Calibri"/>
          <w:sz w:val="21"/>
          <w:szCs w:val="21"/>
        </w:rPr>
        <w:t> </w:t>
      </w:r>
      <m:oMath>
        <m:sSup>
          <m:sSupPr>
            <m:ctrlPr>
              <w:rPr>
                <w:rFonts w:ascii="Cambria Math" w:eastAsia="楷体" w:hAnsi="Cambria Math"/>
                <w:sz w:val="21"/>
                <w:szCs w:val="21"/>
              </w:rPr>
            </m:ctrlPr>
          </m:sSupPr>
          <m:e>
            <m:r>
              <w:rPr>
                <w:rFonts w:ascii="Cambria Math" w:eastAsia="楷体" w:hAnsi="Cambria Math"/>
                <w:sz w:val="21"/>
                <w:szCs w:val="21"/>
              </w:rPr>
              <m:t>R</m:t>
            </m:r>
          </m:e>
          <m:sup>
            <m:r>
              <w:rPr>
                <w:rFonts w:ascii="Cambria Math" w:eastAsia="楷体" w:hAnsi="Cambria Math"/>
                <w:sz w:val="21"/>
                <w:szCs w:val="21"/>
              </w:rPr>
              <m:t>2</m:t>
            </m:r>
          </m:sup>
        </m:sSup>
        <m:r>
          <w:rPr>
            <w:rFonts w:ascii="Cambria Math" w:eastAsia="楷体" w:hAnsi="Cambria Math"/>
            <w:sz w:val="21"/>
            <w:szCs w:val="21"/>
          </w:rPr>
          <m:t>=0.97</m:t>
        </m:r>
      </m:oMath>
      <w:r w:rsidRPr="00FD2006">
        <w:rPr>
          <w:rFonts w:ascii="楷体" w:eastAsia="楷体" w:hAnsi="楷体"/>
          <w:sz w:val="21"/>
          <w:szCs w:val="21"/>
        </w:rPr>
        <w:t>）；在本研究的合成模型中，对于统计质量较差的 D 类国家，灯光信号的最优权重（</w:t>
      </w:r>
      <m:oMath>
        <m:r>
          <w:rPr>
            <w:rFonts w:ascii="Cambria Math" w:eastAsia="楷体" w:hAnsi="Cambria Math"/>
            <w:sz w:val="21"/>
            <w:szCs w:val="21"/>
          </w:rPr>
          <m:t>θ</m:t>
        </m:r>
      </m:oMath>
      <w:r w:rsidRPr="00FD2006">
        <w:rPr>
          <w:rFonts w:ascii="楷体" w:eastAsia="楷体" w:hAnsi="楷体"/>
          <w:sz w:val="21"/>
          <w:szCs w:val="21"/>
        </w:rPr>
        <w:t>）约为 30%，意味着灯光能提供约三分之一的有效经济信息；而对于 A、B、C 类统计质量较高的国家，灯光的增量价值极小（权重</w:t>
      </w:r>
      <w:r w:rsidRPr="00FD2006">
        <w:rPr>
          <w:rFonts w:ascii="Calibri" w:eastAsia="楷体" w:hAnsi="Calibri" w:cs="Calibri"/>
          <w:sz w:val="21"/>
          <w:szCs w:val="21"/>
        </w:rPr>
        <w:t> </w:t>
      </w:r>
      <m:oMath>
        <m:d>
          <m:dPr>
            <m:begChr m:val="&lt;"/>
            <m:endChr m:val=""/>
            <m:ctrlPr>
              <w:rPr>
                <w:rFonts w:ascii="Cambria Math" w:eastAsia="楷体" w:hAnsi="Cambria Math"/>
                <w:sz w:val="21"/>
                <w:szCs w:val="21"/>
              </w:rPr>
            </m:ctrlPr>
          </m:dPr>
          <m:e>
            <m:r>
              <w:rPr>
                <w:rFonts w:ascii="Cambria Math" w:eastAsia="楷体" w:hAnsi="Cambria Math"/>
                <w:sz w:val="21"/>
                <w:szCs w:val="21"/>
              </w:rPr>
              <m:t>3</m:t>
            </m:r>
            <m:r>
              <m:rPr>
                <m:sty m:val="p"/>
              </m:rPr>
              <w:rPr>
                <w:rFonts w:ascii="Cambria Math" w:eastAsia="楷体" w:hAnsi="Cambria Math"/>
                <w:sz w:val="21"/>
                <w:szCs w:val="21"/>
              </w:rPr>
              <m:t>%</m:t>
            </m:r>
          </m:e>
        </m:d>
      </m:oMath>
      <w:r w:rsidRPr="00FD2006">
        <w:rPr>
          <w:rFonts w:ascii="楷体" w:eastAsia="楷体" w:hAnsi="楷体"/>
          <w:sz w:val="21"/>
          <w:szCs w:val="21"/>
        </w:rPr>
        <w:t>）。在网格尺度上，灯光对次国家级经济分布的解释力在各等级国家中均有体现。</w:t>
      </w:r>
    </w:p>
    <w:p w14:paraId="7297D935" w14:textId="055D1790" w:rsidR="00FD2006" w:rsidRPr="00FD2006" w:rsidRDefault="00FD2006" w:rsidP="006913E2">
      <w:pPr>
        <w:rPr>
          <w:rFonts w:ascii="楷体" w:eastAsia="楷体" w:hAnsi="楷体" w:hint="eastAsia"/>
          <w:sz w:val="21"/>
          <w:szCs w:val="21"/>
        </w:rPr>
      </w:pPr>
      <w:r w:rsidRPr="00FD2006">
        <w:rPr>
          <w:rFonts w:ascii="楷体" w:eastAsia="楷体" w:hAnsi="楷体"/>
          <w:b/>
          <w:bCs/>
          <w:sz w:val="21"/>
          <w:szCs w:val="21"/>
        </w:rPr>
        <w:t>研究局限:</w:t>
      </w:r>
      <w:r w:rsidRPr="00FD2006">
        <w:rPr>
          <w:rFonts w:ascii="Calibri" w:eastAsia="楷体" w:hAnsi="Calibri" w:cs="Calibri"/>
          <w:sz w:val="21"/>
          <w:szCs w:val="21"/>
        </w:rPr>
        <w:t> </w:t>
      </w:r>
      <w:r w:rsidRPr="00FD2006">
        <w:rPr>
          <w:rFonts w:ascii="楷体" w:eastAsia="楷体" w:hAnsi="楷体"/>
          <w:sz w:val="21"/>
          <w:szCs w:val="21"/>
        </w:rPr>
        <w:t>在低产出密度地区，灯光与经济活动的关联性极弱且受背景噪声干扰严重；存在明显的“零值问题”，约 36% 有实际产出的低密度网格在卫星图像中记录为零亮度；此外，由于研究采用对数回归模型，必须剔除这些零值观测点，这可能导致模型高估了灯光数据对全球最贫困地区经济产出的实际贡献率。</w:t>
      </w:r>
    </w:p>
    <w:p w14:paraId="0E08D71A" w14:textId="77777777" w:rsidR="006251FC" w:rsidRPr="006251FC" w:rsidRDefault="006251FC" w:rsidP="006251FC">
      <w:pPr>
        <w:rPr>
          <w:rFonts w:ascii="楷体" w:eastAsia="楷体" w:hAnsi="楷体" w:hint="eastAsia"/>
          <w:b/>
          <w:bCs/>
          <w:sz w:val="21"/>
          <w:szCs w:val="21"/>
        </w:rPr>
      </w:pPr>
      <w:r w:rsidRPr="006251FC">
        <w:rPr>
          <w:rFonts w:ascii="楷体" w:eastAsia="楷体" w:hAnsi="楷体"/>
          <w:b/>
          <w:bCs/>
          <w:sz w:val="21"/>
          <w:szCs w:val="21"/>
        </w:rPr>
        <w:br/>
      </w:r>
      <w:bookmarkStart w:id="3" w:name="OLE_LINK11"/>
      <w:r w:rsidRPr="006251FC">
        <w:rPr>
          <w:rFonts w:ascii="楷体" w:eastAsia="楷体" w:hAnsi="楷体"/>
          <w:b/>
          <w:bCs/>
          <w:sz w:val="21"/>
          <w:szCs w:val="21"/>
        </w:rPr>
        <w:t>【Remote Sensing of Environment】【2013-03】Exploring factors affecting the relationship between light consumption and GDP based on DMSP/OLS nighttime satellite imagery</w:t>
      </w:r>
      <w:bookmarkEnd w:id="3"/>
      <w:r w:rsidRPr="006251FC">
        <w:rPr>
          <w:rFonts w:ascii="楷体" w:eastAsia="楷体" w:hAnsi="楷体"/>
          <w:b/>
          <w:bCs/>
          <w:sz w:val="21"/>
          <w:szCs w:val="21"/>
        </w:rPr>
        <w:t xml:space="preserve"> （基于DMSP/OLS夜间卫星影像探讨影响灯光消费与GDP关系的因素）</w:t>
      </w:r>
    </w:p>
    <w:p w14:paraId="0430BEDD" w14:textId="77777777" w:rsidR="006251FC" w:rsidRPr="006251FC" w:rsidRDefault="006251FC" w:rsidP="006251FC">
      <w:pPr>
        <w:rPr>
          <w:rFonts w:ascii="楷体" w:eastAsia="楷体" w:hAnsi="楷体" w:hint="eastAsia"/>
          <w:sz w:val="21"/>
          <w:szCs w:val="21"/>
        </w:rPr>
      </w:pPr>
      <w:r w:rsidRPr="006251FC">
        <w:rPr>
          <w:rFonts w:ascii="楷体" w:eastAsia="楷体" w:hAnsi="楷体"/>
          <w:b/>
          <w:bCs/>
          <w:sz w:val="21"/>
          <w:szCs w:val="21"/>
        </w:rPr>
        <w:t>作者信息:</w:t>
      </w:r>
      <w:r w:rsidRPr="006251FC">
        <w:rPr>
          <w:rFonts w:ascii="Calibri" w:eastAsia="楷体" w:hAnsi="Calibri" w:cs="Calibri"/>
          <w:sz w:val="21"/>
          <w:szCs w:val="21"/>
        </w:rPr>
        <w:t> </w:t>
      </w:r>
      <w:r w:rsidRPr="006251FC">
        <w:rPr>
          <w:rFonts w:ascii="楷体" w:eastAsia="楷体" w:hAnsi="楷体"/>
          <w:sz w:val="21"/>
          <w:szCs w:val="21"/>
        </w:rPr>
        <w:t>本研究由</w:t>
      </w:r>
      <w:bookmarkStart w:id="4" w:name="OLE_LINK12"/>
      <w:r w:rsidRPr="006251FC">
        <w:rPr>
          <w:rFonts w:ascii="楷体" w:eastAsia="楷体" w:hAnsi="楷体"/>
          <w:sz w:val="21"/>
          <w:szCs w:val="21"/>
        </w:rPr>
        <w:t>北京大学深圳研究生院吴健生</w:t>
      </w:r>
      <w:bookmarkEnd w:id="4"/>
      <w:r w:rsidRPr="006251FC">
        <w:rPr>
          <w:rFonts w:ascii="楷体" w:eastAsia="楷体" w:hAnsi="楷体"/>
          <w:sz w:val="21"/>
          <w:szCs w:val="21"/>
        </w:rPr>
        <w:t>、王铮团队联合香港大学研究人员共同完成。</w:t>
      </w:r>
    </w:p>
    <w:p w14:paraId="5D16E386" w14:textId="77777777" w:rsidR="006251FC" w:rsidRPr="006251FC" w:rsidRDefault="006251FC" w:rsidP="006251FC">
      <w:pPr>
        <w:rPr>
          <w:rFonts w:ascii="楷体" w:eastAsia="楷体" w:hAnsi="楷体" w:hint="eastAsia"/>
          <w:sz w:val="21"/>
          <w:szCs w:val="21"/>
        </w:rPr>
      </w:pPr>
      <w:r w:rsidRPr="006251FC">
        <w:rPr>
          <w:rFonts w:ascii="楷体" w:eastAsia="楷体" w:hAnsi="楷体"/>
          <w:b/>
          <w:bCs/>
          <w:sz w:val="21"/>
          <w:szCs w:val="21"/>
        </w:rPr>
        <w:t>数据来源:</w:t>
      </w:r>
      <w:r w:rsidRPr="006251FC">
        <w:rPr>
          <w:rFonts w:ascii="Calibri" w:eastAsia="楷体" w:hAnsi="Calibri" w:cs="Calibri"/>
          <w:sz w:val="21"/>
          <w:szCs w:val="21"/>
        </w:rPr>
        <w:t> </w:t>
      </w:r>
      <w:r w:rsidRPr="006251FC">
        <w:rPr>
          <w:rFonts w:ascii="楷体" w:eastAsia="楷体" w:hAnsi="楷体"/>
          <w:sz w:val="21"/>
          <w:szCs w:val="21"/>
        </w:rPr>
        <w:t xml:space="preserve">研究整合了 1995 年至 2009 年共 15 年的 DMSP-OLS 全球夜间灯光时间序列数据，并结合了世界银行数据库中 169 </w:t>
      </w:r>
      <w:proofErr w:type="gramStart"/>
      <w:r w:rsidRPr="006251FC">
        <w:rPr>
          <w:rFonts w:ascii="楷体" w:eastAsia="楷体" w:hAnsi="楷体"/>
          <w:sz w:val="21"/>
          <w:szCs w:val="21"/>
        </w:rPr>
        <w:t>个</w:t>
      </w:r>
      <w:proofErr w:type="gramEnd"/>
      <w:r w:rsidRPr="006251FC">
        <w:rPr>
          <w:rFonts w:ascii="楷体" w:eastAsia="楷体" w:hAnsi="楷体"/>
          <w:sz w:val="21"/>
          <w:szCs w:val="21"/>
        </w:rPr>
        <w:t>国家/地区的社会经济统计数据，包括 GDP（购买力平价，2005 年恒定美元）、人均 GDP、农业增加值占比、总储蓄率，以及通过遥感影像计算得到的绝对纬度和灯光变异系数（CV，用于衡量人类活动的空间集聚度）。</w:t>
      </w:r>
    </w:p>
    <w:p w14:paraId="52237135" w14:textId="77777777" w:rsidR="006251FC" w:rsidRPr="006251FC" w:rsidRDefault="006251FC" w:rsidP="006251FC">
      <w:pPr>
        <w:rPr>
          <w:rFonts w:ascii="楷体" w:eastAsia="楷体" w:hAnsi="楷体" w:hint="eastAsia"/>
          <w:sz w:val="21"/>
          <w:szCs w:val="21"/>
        </w:rPr>
      </w:pPr>
      <w:r w:rsidRPr="006251FC">
        <w:rPr>
          <w:rFonts w:ascii="楷体" w:eastAsia="楷体" w:hAnsi="楷体"/>
          <w:b/>
          <w:bCs/>
          <w:sz w:val="21"/>
          <w:szCs w:val="21"/>
        </w:rPr>
        <w:t>核心贡献:</w:t>
      </w:r>
      <w:r w:rsidRPr="006251FC">
        <w:rPr>
          <w:rFonts w:ascii="Calibri" w:eastAsia="楷体" w:hAnsi="Calibri" w:cs="Calibri"/>
          <w:sz w:val="21"/>
          <w:szCs w:val="21"/>
        </w:rPr>
        <w:t> </w:t>
      </w:r>
      <w:r w:rsidRPr="006251FC">
        <w:rPr>
          <w:rFonts w:ascii="楷体" w:eastAsia="楷体" w:hAnsi="楷体"/>
          <w:sz w:val="21"/>
          <w:szCs w:val="21"/>
        </w:rPr>
        <w:t>核心贡献在于将夜间灯光创新性地视为一种“消费品”而非单纯的生产代理指</w:t>
      </w:r>
      <w:r w:rsidRPr="006251FC">
        <w:rPr>
          <w:rFonts w:ascii="楷体" w:eastAsia="楷体" w:hAnsi="楷体"/>
          <w:sz w:val="21"/>
          <w:szCs w:val="21"/>
        </w:rPr>
        <w:lastRenderedPageBreak/>
        <w:t>标，构建了一个分析灯光消费与 GDP 关系的多因素模型。研究首次定量分解了农业与非农业生产对全球灯光消费的贡献比例，并探讨了人均 GDP、纬度、人类活动空间分布及储蓄率如何影响居民的“灯光消费倾向”。研究发现人均灯光消费与人均 GDP 之间存在类似库兹涅茨曲线的“倒 U 型”关系，揭示了经济发展到</w:t>
      </w:r>
      <w:proofErr w:type="gramStart"/>
      <w:r w:rsidRPr="006251FC">
        <w:rPr>
          <w:rFonts w:ascii="楷体" w:eastAsia="楷体" w:hAnsi="楷体"/>
          <w:sz w:val="21"/>
          <w:szCs w:val="21"/>
        </w:rPr>
        <w:t>极</w:t>
      </w:r>
      <w:proofErr w:type="gramEnd"/>
      <w:r w:rsidRPr="006251FC">
        <w:rPr>
          <w:rFonts w:ascii="楷体" w:eastAsia="楷体" w:hAnsi="楷体"/>
          <w:sz w:val="21"/>
          <w:szCs w:val="21"/>
        </w:rPr>
        <w:t>高水平后灯光消费倾向下降的规律。</w:t>
      </w:r>
    </w:p>
    <w:p w14:paraId="3999A708" w14:textId="0C7F0AE4" w:rsidR="006251FC" w:rsidRPr="006251FC" w:rsidRDefault="006251FC" w:rsidP="006251FC">
      <w:pPr>
        <w:rPr>
          <w:rFonts w:ascii="楷体" w:eastAsia="楷体" w:hAnsi="楷体" w:hint="eastAsia"/>
          <w:sz w:val="21"/>
          <w:szCs w:val="21"/>
        </w:rPr>
      </w:pPr>
      <w:r w:rsidRPr="006251FC">
        <w:rPr>
          <w:rFonts w:ascii="楷体" w:eastAsia="楷体" w:hAnsi="楷体"/>
          <w:b/>
          <w:bCs/>
          <w:sz w:val="21"/>
          <w:szCs w:val="21"/>
        </w:rPr>
        <w:t>具体指标:</w:t>
      </w:r>
      <w:r w:rsidRPr="006251FC">
        <w:rPr>
          <w:rFonts w:ascii="Calibri" w:eastAsia="楷体" w:hAnsi="Calibri" w:cs="Calibri"/>
          <w:sz w:val="21"/>
          <w:szCs w:val="21"/>
        </w:rPr>
        <w:t> </w:t>
      </w:r>
      <w:r w:rsidRPr="006251FC">
        <w:rPr>
          <w:rFonts w:ascii="楷体" w:eastAsia="楷体" w:hAnsi="楷体"/>
          <w:sz w:val="21"/>
          <w:szCs w:val="21"/>
        </w:rPr>
        <w:t>研究主要采用决定系数（</w:t>
      </w:r>
      <m:oMath>
        <m:sSup>
          <m:sSupPr>
            <m:ctrlPr>
              <w:rPr>
                <w:rFonts w:ascii="Cambria Math" w:eastAsia="楷体" w:hAnsi="Cambria Math"/>
                <w:sz w:val="21"/>
                <w:szCs w:val="21"/>
              </w:rPr>
            </m:ctrlPr>
          </m:sSupPr>
          <m:e>
            <m:r>
              <w:rPr>
                <w:rFonts w:ascii="Cambria Math" w:eastAsia="楷体" w:hAnsi="Cambria Math"/>
                <w:sz w:val="21"/>
                <w:szCs w:val="21"/>
              </w:rPr>
              <m:t>R</m:t>
            </m:r>
          </m:e>
          <m:sup>
            <m:r>
              <w:rPr>
                <w:rFonts w:ascii="Cambria Math" w:eastAsia="楷体" w:hAnsi="Cambria Math"/>
                <w:sz w:val="21"/>
                <w:szCs w:val="21"/>
              </w:rPr>
              <m:t>2</m:t>
            </m:r>
          </m:sup>
        </m:sSup>
      </m:oMath>
      <w:r w:rsidRPr="006251FC">
        <w:rPr>
          <w:rFonts w:ascii="楷体" w:eastAsia="楷体" w:hAnsi="楷体"/>
          <w:sz w:val="21"/>
          <w:szCs w:val="21"/>
        </w:rPr>
        <w:t>）和弹性系数衡量模型效力。全球国家级模型的</w:t>
      </w:r>
      <w:r w:rsidRPr="006251FC">
        <w:rPr>
          <w:rFonts w:ascii="Calibri" w:eastAsia="楷体" w:hAnsi="Calibri" w:cs="Calibri"/>
          <w:sz w:val="21"/>
          <w:szCs w:val="21"/>
        </w:rPr>
        <w:t> </w:t>
      </w:r>
      <m:oMath>
        <m:sSup>
          <m:sSupPr>
            <m:ctrlPr>
              <w:rPr>
                <w:rFonts w:ascii="Cambria Math" w:eastAsia="楷体" w:hAnsi="Cambria Math"/>
                <w:sz w:val="21"/>
                <w:szCs w:val="21"/>
              </w:rPr>
            </m:ctrlPr>
          </m:sSupPr>
          <m:e>
            <m:r>
              <w:rPr>
                <w:rFonts w:ascii="Cambria Math" w:eastAsia="楷体" w:hAnsi="Cambria Math"/>
                <w:sz w:val="21"/>
                <w:szCs w:val="21"/>
              </w:rPr>
              <m:t>R</m:t>
            </m:r>
          </m:e>
          <m:sup>
            <m:r>
              <w:rPr>
                <w:rFonts w:ascii="Cambria Math" w:eastAsia="楷体" w:hAnsi="Cambria Math"/>
                <w:sz w:val="21"/>
                <w:szCs w:val="21"/>
              </w:rPr>
              <m:t>2</m:t>
            </m:r>
          </m:sup>
        </m:sSup>
      </m:oMath>
      <w:r w:rsidRPr="006251FC">
        <w:rPr>
          <w:rFonts w:ascii="Calibri" w:eastAsia="楷体" w:hAnsi="Calibri" w:cs="Calibri"/>
          <w:sz w:val="21"/>
          <w:szCs w:val="21"/>
        </w:rPr>
        <w:t> </w:t>
      </w:r>
      <w:r w:rsidRPr="006251FC">
        <w:rPr>
          <w:rFonts w:ascii="楷体" w:eastAsia="楷体" w:hAnsi="楷体"/>
          <w:sz w:val="21"/>
          <w:szCs w:val="21"/>
        </w:rPr>
        <w:t>达到 0.9248，灯光消费对 GDP 的弹性系数为 1.013（即 GDP 每增长 1%，灯光消费增长 1.013%）。在贡献分解中，农业和非农业生产分别占全球灯光消费的 25.42% 和 74.58%。人均灯光消费的“倒 U 型”曲线对称轴位于人均 GDP 约 6.24 万美元处（2005 年恒定美元）。分区域来看，南亚（SAS）模型的拟合度最高（</w:t>
      </w:r>
      <m:oMath>
        <m:sSup>
          <m:sSupPr>
            <m:ctrlPr>
              <w:rPr>
                <w:rFonts w:ascii="Cambria Math" w:eastAsia="楷体" w:hAnsi="Cambria Math"/>
                <w:sz w:val="21"/>
                <w:szCs w:val="21"/>
              </w:rPr>
            </m:ctrlPr>
          </m:sSupPr>
          <m:e>
            <m:r>
              <w:rPr>
                <w:rFonts w:ascii="Cambria Math" w:eastAsia="楷体" w:hAnsi="Cambria Math"/>
                <w:sz w:val="21"/>
                <w:szCs w:val="21"/>
              </w:rPr>
              <m:t>R</m:t>
            </m:r>
          </m:e>
          <m:sup>
            <m:r>
              <w:rPr>
                <w:rFonts w:ascii="Cambria Math" w:eastAsia="楷体" w:hAnsi="Cambria Math"/>
                <w:sz w:val="21"/>
                <w:szCs w:val="21"/>
              </w:rPr>
              <m:t>2</m:t>
            </m:r>
          </m:sup>
        </m:sSup>
        <m:r>
          <w:rPr>
            <w:rFonts w:ascii="Cambria Math" w:eastAsia="楷体" w:hAnsi="Cambria Math"/>
            <w:sz w:val="21"/>
            <w:szCs w:val="21"/>
          </w:rPr>
          <m:t>=0.9878</m:t>
        </m:r>
      </m:oMath>
      <w:r w:rsidRPr="006251FC">
        <w:rPr>
          <w:rFonts w:ascii="楷体" w:eastAsia="楷体" w:hAnsi="楷体"/>
          <w:sz w:val="21"/>
          <w:szCs w:val="21"/>
        </w:rPr>
        <w:t>），而撒哈拉以南非洲（SSF）相对较低（</w:t>
      </w:r>
      <m:oMath>
        <m:sSup>
          <m:sSupPr>
            <m:ctrlPr>
              <w:rPr>
                <w:rFonts w:ascii="Cambria Math" w:eastAsia="楷体" w:hAnsi="Cambria Math"/>
                <w:sz w:val="21"/>
                <w:szCs w:val="21"/>
              </w:rPr>
            </m:ctrlPr>
          </m:sSupPr>
          <m:e>
            <m:r>
              <w:rPr>
                <w:rFonts w:ascii="Cambria Math" w:eastAsia="楷体" w:hAnsi="Cambria Math"/>
                <w:sz w:val="21"/>
                <w:szCs w:val="21"/>
              </w:rPr>
              <m:t>R</m:t>
            </m:r>
          </m:e>
          <m:sup>
            <m:r>
              <w:rPr>
                <w:rFonts w:ascii="Cambria Math" w:eastAsia="楷体" w:hAnsi="Cambria Math"/>
                <w:sz w:val="21"/>
                <w:szCs w:val="21"/>
              </w:rPr>
              <m:t>2</m:t>
            </m:r>
          </m:sup>
        </m:sSup>
        <m:r>
          <w:rPr>
            <w:rFonts w:ascii="Cambria Math" w:eastAsia="楷体" w:hAnsi="Cambria Math"/>
            <w:sz w:val="21"/>
            <w:szCs w:val="21"/>
          </w:rPr>
          <m:t>=0.8306</m:t>
        </m:r>
      </m:oMath>
      <w:r w:rsidRPr="006251FC">
        <w:rPr>
          <w:rFonts w:ascii="楷体" w:eastAsia="楷体" w:hAnsi="楷体"/>
          <w:sz w:val="21"/>
          <w:szCs w:val="21"/>
        </w:rPr>
        <w:t>）。</w:t>
      </w:r>
    </w:p>
    <w:p w14:paraId="56A9B0B3" w14:textId="5F5DA329" w:rsidR="006251FC" w:rsidRPr="006251FC" w:rsidRDefault="006251FC" w:rsidP="006251FC">
      <w:pPr>
        <w:rPr>
          <w:rFonts w:ascii="楷体" w:eastAsia="楷体" w:hAnsi="楷体" w:hint="eastAsia"/>
          <w:sz w:val="21"/>
          <w:szCs w:val="21"/>
        </w:rPr>
      </w:pPr>
      <w:r w:rsidRPr="006251FC">
        <w:rPr>
          <w:rFonts w:ascii="楷体" w:eastAsia="楷体" w:hAnsi="楷体"/>
          <w:b/>
          <w:bCs/>
          <w:sz w:val="21"/>
          <w:szCs w:val="21"/>
        </w:rPr>
        <w:t>研究局限:</w:t>
      </w:r>
      <w:r w:rsidRPr="006251FC">
        <w:rPr>
          <w:rFonts w:ascii="Calibri" w:eastAsia="楷体" w:hAnsi="Calibri" w:cs="Calibri"/>
          <w:sz w:val="21"/>
          <w:szCs w:val="21"/>
        </w:rPr>
        <w:t> </w:t>
      </w:r>
      <w:r w:rsidRPr="006251FC">
        <w:rPr>
          <w:rFonts w:ascii="楷体" w:eastAsia="楷体" w:hAnsi="楷体"/>
          <w:sz w:val="21"/>
          <w:szCs w:val="21"/>
        </w:rPr>
        <w:t>采用时间固定效应模型虽能有效控制不同卫星传感器的重复误差，但会将真实的年度经济变化信息与测量误差混淆，难以剥离；研究未对 DMSP 影像进行饱和校正，虽在国家尺度影响较小，但在城市微观尺度可能存在偏差；此外，高纬度国家（如芬兰、挪威）的灯光数据受冰雪反射干扰严重，且部分落后地区的官方统计数据质量可能影响了模型的区域拟合效果。</w:t>
      </w:r>
    </w:p>
    <w:p w14:paraId="4E4D8A1D" w14:textId="77777777" w:rsidR="006251FC" w:rsidRPr="006251FC" w:rsidRDefault="006251FC" w:rsidP="006913E2">
      <w:pPr>
        <w:rPr>
          <w:rFonts w:ascii="楷体" w:eastAsia="楷体" w:hAnsi="楷体" w:hint="eastAsia"/>
          <w:sz w:val="21"/>
          <w:szCs w:val="21"/>
        </w:rPr>
      </w:pPr>
    </w:p>
    <w:p w14:paraId="79831F34" w14:textId="345C333E" w:rsidR="006913E2" w:rsidRPr="006913E2" w:rsidRDefault="006913E2" w:rsidP="006913E2">
      <w:pPr>
        <w:rPr>
          <w:rFonts w:ascii="楷体" w:eastAsia="楷体" w:hAnsi="楷体" w:hint="eastAsia"/>
          <w:b/>
          <w:bCs/>
          <w:sz w:val="21"/>
          <w:szCs w:val="21"/>
        </w:rPr>
      </w:pPr>
      <w:r w:rsidRPr="006913E2">
        <w:rPr>
          <w:rFonts w:ascii="楷体" w:eastAsia="楷体" w:hAnsi="楷体"/>
          <w:b/>
          <w:bCs/>
          <w:sz w:val="21"/>
          <w:szCs w:val="21"/>
        </w:rPr>
        <w:t>【Scientific Data】【2022-05】Global 1 km × 1 km gridded revised real gross domestic product and electricity consumption during 1992–2019 based on calibrated nighttime light data</w:t>
      </w:r>
      <w:bookmarkEnd w:id="0"/>
      <w:r w:rsidRPr="006913E2">
        <w:rPr>
          <w:rFonts w:ascii="楷体" w:eastAsia="楷体" w:hAnsi="楷体"/>
          <w:b/>
          <w:bCs/>
          <w:sz w:val="21"/>
          <w:szCs w:val="21"/>
        </w:rPr>
        <w:t xml:space="preserve"> （基于校正夜间灯光数据的1992-2019年全球1km×1km网格化修订实际GDP与用电量数据集）</w:t>
      </w:r>
    </w:p>
    <w:p w14:paraId="3650F644" w14:textId="77777777" w:rsidR="006913E2" w:rsidRPr="006913E2" w:rsidRDefault="006913E2" w:rsidP="006913E2">
      <w:pPr>
        <w:rPr>
          <w:rFonts w:ascii="楷体" w:eastAsia="楷体" w:hAnsi="楷体" w:hint="eastAsia"/>
          <w:sz w:val="21"/>
          <w:szCs w:val="21"/>
        </w:rPr>
      </w:pPr>
      <w:r w:rsidRPr="006913E2">
        <w:rPr>
          <w:rFonts w:ascii="楷体" w:eastAsia="楷体" w:hAnsi="楷体"/>
          <w:b/>
          <w:bCs/>
          <w:sz w:val="21"/>
          <w:szCs w:val="21"/>
        </w:rPr>
        <w:t>作者信息:</w:t>
      </w:r>
      <w:r w:rsidRPr="006913E2">
        <w:rPr>
          <w:rFonts w:ascii="Calibri" w:eastAsia="楷体" w:hAnsi="Calibri" w:cs="Calibri"/>
          <w:sz w:val="21"/>
          <w:szCs w:val="21"/>
        </w:rPr>
        <w:t> </w:t>
      </w:r>
      <w:r w:rsidRPr="006913E2">
        <w:rPr>
          <w:rFonts w:ascii="楷体" w:eastAsia="楷体" w:hAnsi="楷体"/>
          <w:sz w:val="21"/>
          <w:szCs w:val="21"/>
        </w:rPr>
        <w:t>本研究由</w:t>
      </w:r>
      <w:bookmarkStart w:id="5" w:name="OLE_LINK4"/>
      <w:r w:rsidRPr="006913E2">
        <w:rPr>
          <w:rFonts w:ascii="楷体" w:eastAsia="楷体" w:hAnsi="楷体"/>
          <w:sz w:val="21"/>
          <w:szCs w:val="21"/>
        </w:rPr>
        <w:t>西南财经</w:t>
      </w:r>
      <w:proofErr w:type="gramStart"/>
      <w:r w:rsidRPr="006913E2">
        <w:rPr>
          <w:rFonts w:ascii="楷体" w:eastAsia="楷体" w:hAnsi="楷体"/>
          <w:sz w:val="21"/>
          <w:szCs w:val="21"/>
        </w:rPr>
        <w:t>大学陈</w:t>
      </w:r>
      <w:proofErr w:type="gramEnd"/>
      <w:r w:rsidRPr="006913E2">
        <w:rPr>
          <w:rFonts w:ascii="楷体" w:eastAsia="楷体" w:hAnsi="楷体"/>
          <w:sz w:val="21"/>
          <w:szCs w:val="21"/>
        </w:rPr>
        <w:t>建东</w:t>
      </w:r>
      <w:bookmarkEnd w:id="5"/>
      <w:r w:rsidRPr="006913E2">
        <w:rPr>
          <w:rFonts w:ascii="楷体" w:eastAsia="楷体" w:hAnsi="楷体"/>
          <w:sz w:val="21"/>
          <w:szCs w:val="21"/>
        </w:rPr>
        <w:t>、高明团队联合中国科学院、爱丁堡大学及安徽财经大学等多家机构的研究人员共同完成。</w:t>
      </w:r>
    </w:p>
    <w:p w14:paraId="5B046997" w14:textId="77777777" w:rsidR="006913E2" w:rsidRPr="006913E2" w:rsidRDefault="006913E2" w:rsidP="006913E2">
      <w:pPr>
        <w:rPr>
          <w:rFonts w:ascii="楷体" w:eastAsia="楷体" w:hAnsi="楷体" w:hint="eastAsia"/>
          <w:sz w:val="21"/>
          <w:szCs w:val="21"/>
        </w:rPr>
      </w:pPr>
      <w:r w:rsidRPr="006913E2">
        <w:rPr>
          <w:rFonts w:ascii="楷体" w:eastAsia="楷体" w:hAnsi="楷体"/>
          <w:b/>
          <w:bCs/>
          <w:sz w:val="21"/>
          <w:szCs w:val="21"/>
        </w:rPr>
        <w:t>数据来源:</w:t>
      </w:r>
      <w:r w:rsidRPr="006913E2">
        <w:rPr>
          <w:rFonts w:ascii="Calibri" w:eastAsia="楷体" w:hAnsi="Calibri" w:cs="Calibri"/>
          <w:sz w:val="21"/>
          <w:szCs w:val="21"/>
        </w:rPr>
        <w:t> </w:t>
      </w:r>
      <w:r w:rsidRPr="006913E2">
        <w:rPr>
          <w:rFonts w:ascii="楷体" w:eastAsia="楷体" w:hAnsi="楷体"/>
          <w:sz w:val="21"/>
          <w:szCs w:val="21"/>
        </w:rPr>
        <w:t>研究整合了 1992–2013 年的 DMSP/OLS 和 2012–2019 年的 NPP/VIIRS 两套夜间灯光（NTL）遥感数据；同时采用了来自</w:t>
      </w:r>
      <w:bookmarkStart w:id="6" w:name="OLE_LINK5"/>
      <w:r w:rsidRPr="006913E2">
        <w:rPr>
          <w:rFonts w:ascii="楷体" w:eastAsia="楷体" w:hAnsi="楷体"/>
          <w:sz w:val="21"/>
          <w:szCs w:val="21"/>
        </w:rPr>
        <w:t xml:space="preserve"> Penn World Table </w:t>
      </w:r>
      <w:bookmarkEnd w:id="6"/>
      <w:r w:rsidRPr="006913E2">
        <w:rPr>
          <w:rFonts w:ascii="楷体" w:eastAsia="楷体" w:hAnsi="楷体"/>
          <w:sz w:val="21"/>
          <w:szCs w:val="21"/>
        </w:rPr>
        <w:t xml:space="preserve">的 175 </w:t>
      </w:r>
      <w:proofErr w:type="gramStart"/>
      <w:r w:rsidRPr="006913E2">
        <w:rPr>
          <w:rFonts w:ascii="楷体" w:eastAsia="楷体" w:hAnsi="楷体"/>
          <w:sz w:val="21"/>
          <w:szCs w:val="21"/>
        </w:rPr>
        <w:t>个</w:t>
      </w:r>
      <w:proofErr w:type="gramEnd"/>
      <w:r w:rsidRPr="006913E2">
        <w:rPr>
          <w:rFonts w:ascii="楷体" w:eastAsia="楷体" w:hAnsi="楷体"/>
          <w:sz w:val="21"/>
          <w:szCs w:val="21"/>
        </w:rPr>
        <w:t>国家/地区的官方实际 GDP 数据，以及来自世界银行的 134 个国家/地区的用电量统计数据。</w:t>
      </w:r>
    </w:p>
    <w:p w14:paraId="5353AC5B" w14:textId="77777777" w:rsidR="006913E2" w:rsidRPr="006913E2" w:rsidRDefault="006913E2" w:rsidP="006913E2">
      <w:pPr>
        <w:rPr>
          <w:rFonts w:ascii="楷体" w:eastAsia="楷体" w:hAnsi="楷体" w:hint="eastAsia"/>
          <w:sz w:val="21"/>
          <w:szCs w:val="21"/>
        </w:rPr>
      </w:pPr>
      <w:r w:rsidRPr="006913E2">
        <w:rPr>
          <w:rFonts w:ascii="楷体" w:eastAsia="楷体" w:hAnsi="楷体"/>
          <w:b/>
          <w:bCs/>
          <w:sz w:val="21"/>
          <w:szCs w:val="21"/>
        </w:rPr>
        <w:t>核心贡献:</w:t>
      </w:r>
      <w:r w:rsidRPr="006913E2">
        <w:rPr>
          <w:rFonts w:ascii="Calibri" w:eastAsia="楷体" w:hAnsi="Calibri" w:cs="Calibri"/>
          <w:sz w:val="21"/>
          <w:szCs w:val="21"/>
        </w:rPr>
        <w:t> </w:t>
      </w:r>
      <w:r w:rsidRPr="006913E2">
        <w:rPr>
          <w:rFonts w:ascii="楷体" w:eastAsia="楷体" w:hAnsi="楷体"/>
          <w:sz w:val="21"/>
          <w:szCs w:val="21"/>
        </w:rPr>
        <w:t>研究的主要贡献在于解决并统一了 DMSP/OLS 和 NPP/VIIRS 两套传感器之间的数据不连续与尺度不一问题。通过引入</w:t>
      </w:r>
      <w:bookmarkStart w:id="7" w:name="OLE_LINK6"/>
      <w:r w:rsidRPr="006913E2">
        <w:rPr>
          <w:rFonts w:ascii="楷体" w:eastAsia="楷体" w:hAnsi="楷体"/>
          <w:sz w:val="21"/>
          <w:szCs w:val="21"/>
        </w:rPr>
        <w:t>粒子群优化反向传播</w:t>
      </w:r>
      <w:bookmarkEnd w:id="7"/>
      <w:r w:rsidRPr="006913E2">
        <w:rPr>
          <w:rFonts w:ascii="楷体" w:eastAsia="楷体" w:hAnsi="楷体"/>
          <w:sz w:val="21"/>
          <w:szCs w:val="21"/>
        </w:rPr>
        <w:t>（PSO-BP）算法，构建了全球首套 1992–2019 年连续、一致的 1km 分辨率夜间灯光数据集。在此基础上，研究采用“自上而下”的方法，利用夜间灯光作为客观代理指标，对部分国家可能存在的官方统计误差或人为操纵的 GDP 增长率进行了修订，生成了更具客观性和可比性的全球高精度网格化经济指标数据集。</w:t>
      </w:r>
    </w:p>
    <w:p w14:paraId="5800171B" w14:textId="7C61CBD2" w:rsidR="006913E2" w:rsidRPr="006913E2" w:rsidRDefault="006913E2" w:rsidP="006913E2">
      <w:pPr>
        <w:rPr>
          <w:rFonts w:ascii="楷体" w:eastAsia="楷体" w:hAnsi="楷体" w:hint="eastAsia"/>
          <w:sz w:val="21"/>
          <w:szCs w:val="21"/>
        </w:rPr>
      </w:pPr>
      <w:r w:rsidRPr="006913E2">
        <w:rPr>
          <w:rFonts w:ascii="楷体" w:eastAsia="楷体" w:hAnsi="楷体"/>
          <w:b/>
          <w:bCs/>
          <w:sz w:val="21"/>
          <w:szCs w:val="21"/>
        </w:rPr>
        <w:t>具体指标:</w:t>
      </w:r>
      <w:r w:rsidRPr="006913E2">
        <w:rPr>
          <w:rFonts w:ascii="Calibri" w:eastAsia="楷体" w:hAnsi="Calibri" w:cs="Calibri"/>
          <w:sz w:val="21"/>
          <w:szCs w:val="21"/>
        </w:rPr>
        <w:t> </w:t>
      </w:r>
      <w:r w:rsidRPr="006913E2">
        <w:rPr>
          <w:rFonts w:ascii="楷体" w:eastAsia="楷体" w:hAnsi="楷体"/>
          <w:sz w:val="21"/>
          <w:szCs w:val="21"/>
        </w:rPr>
        <w:t>数据集的时间跨度为 1992 年至 2019 年，空间分辨率为 1 km × 1 km。在技术验证中，PSO-BP 算法在六大洲的 NTL 数据匹配训练中表现优异，决定系数（</w:t>
      </w:r>
      <m:oMath>
        <m:sSup>
          <m:sSupPr>
            <m:ctrlPr>
              <w:rPr>
                <w:rFonts w:ascii="Cambria Math" w:eastAsia="楷体" w:hAnsi="Cambria Math"/>
                <w:sz w:val="21"/>
                <w:szCs w:val="21"/>
              </w:rPr>
            </m:ctrlPr>
          </m:sSupPr>
          <m:e>
            <m:r>
              <w:rPr>
                <w:rFonts w:ascii="Cambria Math" w:eastAsia="楷体" w:hAnsi="Cambria Math"/>
                <w:sz w:val="21"/>
                <w:szCs w:val="21"/>
              </w:rPr>
              <m:t>R</m:t>
            </m:r>
          </m:e>
          <m:sup>
            <m:r>
              <w:rPr>
                <w:rFonts w:ascii="Cambria Math" w:eastAsia="楷体" w:hAnsi="Cambria Math"/>
                <w:sz w:val="21"/>
                <w:szCs w:val="21"/>
              </w:rPr>
              <m:t>2</m:t>
            </m:r>
          </m:sup>
        </m:sSup>
      </m:oMath>
      <w:r w:rsidRPr="006913E2">
        <w:rPr>
          <w:rFonts w:ascii="楷体" w:eastAsia="楷体" w:hAnsi="楷体"/>
          <w:sz w:val="21"/>
          <w:szCs w:val="21"/>
        </w:rPr>
        <w:t>）均超过 0.96（大洋洲除外，为 0.91）；全球转换后的 NTL 数据与官方统计数据的拟合度极高，总决定系数超过 0.98。在修订后的网格</w:t>
      </w:r>
      <w:proofErr w:type="gramStart"/>
      <w:r w:rsidRPr="006913E2">
        <w:rPr>
          <w:rFonts w:ascii="楷体" w:eastAsia="楷体" w:hAnsi="楷体"/>
          <w:sz w:val="21"/>
          <w:szCs w:val="21"/>
        </w:rPr>
        <w:t>化数据</w:t>
      </w:r>
      <w:proofErr w:type="gramEnd"/>
      <w:r w:rsidRPr="006913E2">
        <w:rPr>
          <w:rFonts w:ascii="楷体" w:eastAsia="楷体" w:hAnsi="楷体"/>
          <w:sz w:val="21"/>
          <w:szCs w:val="21"/>
        </w:rPr>
        <w:t>验证中，国家级横截面 GDP 与灯光总</w:t>
      </w:r>
      <w:r w:rsidRPr="006913E2">
        <w:rPr>
          <w:rFonts w:ascii="楷体" w:eastAsia="楷体" w:hAnsi="楷体"/>
          <w:sz w:val="21"/>
          <w:szCs w:val="21"/>
        </w:rPr>
        <w:lastRenderedPageBreak/>
        <w:t>值的平均</w:t>
      </w:r>
      <w:r w:rsidRPr="006913E2">
        <w:rPr>
          <w:rFonts w:ascii="Calibri" w:eastAsia="楷体" w:hAnsi="Calibri" w:cs="Calibri"/>
          <w:sz w:val="21"/>
          <w:szCs w:val="21"/>
        </w:rPr>
        <w:t> </w:t>
      </w:r>
      <m:oMath>
        <m:sSup>
          <m:sSupPr>
            <m:ctrlPr>
              <w:rPr>
                <w:rFonts w:ascii="Cambria Math" w:eastAsia="楷体" w:hAnsi="Cambria Math"/>
                <w:sz w:val="21"/>
                <w:szCs w:val="21"/>
              </w:rPr>
            </m:ctrlPr>
          </m:sSupPr>
          <m:e>
            <m:r>
              <w:rPr>
                <w:rFonts w:ascii="Cambria Math" w:eastAsia="楷体" w:hAnsi="Cambria Math"/>
                <w:sz w:val="21"/>
                <w:szCs w:val="21"/>
              </w:rPr>
              <m:t>R</m:t>
            </m:r>
          </m:e>
          <m:sup>
            <m:r>
              <w:rPr>
                <w:rFonts w:ascii="Cambria Math" w:eastAsia="楷体" w:hAnsi="Cambria Math"/>
                <w:sz w:val="21"/>
                <w:szCs w:val="21"/>
              </w:rPr>
              <m:t>2</m:t>
            </m:r>
          </m:sup>
        </m:sSup>
      </m:oMath>
      <w:r w:rsidRPr="006913E2">
        <w:rPr>
          <w:rFonts w:ascii="Calibri" w:eastAsia="楷体" w:hAnsi="Calibri" w:cs="Calibri"/>
          <w:sz w:val="21"/>
          <w:szCs w:val="21"/>
        </w:rPr>
        <w:t> </w:t>
      </w:r>
      <w:r w:rsidRPr="006913E2">
        <w:rPr>
          <w:rFonts w:ascii="楷体" w:eastAsia="楷体" w:hAnsi="楷体"/>
          <w:sz w:val="21"/>
          <w:szCs w:val="21"/>
        </w:rPr>
        <w:t>约为 0.82，用电量的平均</w:t>
      </w:r>
      <w:r w:rsidRPr="006913E2">
        <w:rPr>
          <w:rFonts w:ascii="Calibri" w:eastAsia="楷体" w:hAnsi="Calibri" w:cs="Calibri"/>
          <w:sz w:val="21"/>
          <w:szCs w:val="21"/>
        </w:rPr>
        <w:t> </w:t>
      </w:r>
      <m:oMath>
        <m:sSup>
          <m:sSupPr>
            <m:ctrlPr>
              <w:rPr>
                <w:rFonts w:ascii="Cambria Math" w:eastAsia="楷体" w:hAnsi="Cambria Math"/>
                <w:sz w:val="21"/>
                <w:szCs w:val="21"/>
              </w:rPr>
            </m:ctrlPr>
          </m:sSupPr>
          <m:e>
            <m:r>
              <w:rPr>
                <w:rFonts w:ascii="Cambria Math" w:eastAsia="楷体" w:hAnsi="Cambria Math"/>
                <w:sz w:val="21"/>
                <w:szCs w:val="21"/>
              </w:rPr>
              <m:t>R</m:t>
            </m:r>
          </m:e>
          <m:sup>
            <m:r>
              <w:rPr>
                <w:rFonts w:ascii="Cambria Math" w:eastAsia="楷体" w:hAnsi="Cambria Math"/>
                <w:sz w:val="21"/>
                <w:szCs w:val="21"/>
              </w:rPr>
              <m:t>2</m:t>
            </m:r>
          </m:sup>
        </m:sSup>
      </m:oMath>
      <w:r w:rsidRPr="006913E2">
        <w:rPr>
          <w:rFonts w:ascii="Calibri" w:eastAsia="楷体" w:hAnsi="Calibri" w:cs="Calibri"/>
          <w:sz w:val="21"/>
          <w:szCs w:val="21"/>
        </w:rPr>
        <w:t> </w:t>
      </w:r>
      <w:r w:rsidRPr="006913E2">
        <w:rPr>
          <w:rFonts w:ascii="楷体" w:eastAsia="楷体" w:hAnsi="楷体"/>
          <w:sz w:val="21"/>
          <w:szCs w:val="21"/>
        </w:rPr>
        <w:t>约为 0.87，证明了数据对微观经济分布的强大解释力。</w:t>
      </w:r>
    </w:p>
    <w:p w14:paraId="16833EC7" w14:textId="13783384" w:rsidR="006913E2" w:rsidRPr="006913E2" w:rsidRDefault="006913E2" w:rsidP="006913E2">
      <w:pPr>
        <w:rPr>
          <w:rFonts w:ascii="楷体" w:eastAsia="楷体" w:hAnsi="楷体" w:hint="eastAsia"/>
          <w:sz w:val="21"/>
          <w:szCs w:val="21"/>
        </w:rPr>
      </w:pPr>
      <w:r w:rsidRPr="006913E2">
        <w:rPr>
          <w:rFonts w:ascii="楷体" w:eastAsia="楷体" w:hAnsi="楷体"/>
          <w:b/>
          <w:bCs/>
          <w:sz w:val="21"/>
          <w:szCs w:val="21"/>
        </w:rPr>
        <w:t>研究局限:</w:t>
      </w:r>
      <w:r w:rsidRPr="006913E2">
        <w:rPr>
          <w:rFonts w:ascii="Calibri" w:eastAsia="楷体" w:hAnsi="Calibri" w:cs="Calibri"/>
          <w:sz w:val="21"/>
          <w:szCs w:val="21"/>
        </w:rPr>
        <w:t> </w:t>
      </w:r>
      <w:r w:rsidRPr="006913E2">
        <w:rPr>
          <w:rFonts w:ascii="楷体" w:eastAsia="楷体" w:hAnsi="楷体"/>
          <w:sz w:val="21"/>
          <w:szCs w:val="21"/>
        </w:rPr>
        <w:t>模型建立在“经济越发达/用电量越高则灯光越亮”的假设基础上，未考虑极端价格波动或特定社会事件对电力消费模式的冲击；</w:t>
      </w:r>
      <w:proofErr w:type="gramStart"/>
      <w:r w:rsidRPr="006913E2">
        <w:rPr>
          <w:rFonts w:ascii="楷体" w:eastAsia="楷体" w:hAnsi="楷体"/>
          <w:sz w:val="21"/>
          <w:szCs w:val="21"/>
        </w:rPr>
        <w:t>数据集虽覆盖</w:t>
      </w:r>
      <w:proofErr w:type="gramEnd"/>
      <w:r w:rsidRPr="006913E2">
        <w:rPr>
          <w:rFonts w:ascii="楷体" w:eastAsia="楷体" w:hAnsi="楷体"/>
          <w:sz w:val="21"/>
          <w:szCs w:val="21"/>
        </w:rPr>
        <w:t>了全球 90% 以上的 GDP 和用电量，但仍有部分缺乏统计数据的国家未被纳入；此外，自上而下的分配方法在处理极小尺度上的空间异质性时，可能仍受限于夜间灯光本身的溢出效应或饱和效应。</w:t>
      </w:r>
    </w:p>
    <w:p w14:paraId="68E77349" w14:textId="77777777" w:rsidR="007D1F6D" w:rsidRDefault="007D1F6D">
      <w:pPr>
        <w:rPr>
          <w:rFonts w:ascii="楷体" w:eastAsia="楷体" w:hAnsi="楷体" w:hint="eastAsia"/>
          <w:sz w:val="21"/>
          <w:szCs w:val="21"/>
        </w:rPr>
      </w:pPr>
    </w:p>
    <w:p w14:paraId="67988B56" w14:textId="77777777" w:rsidR="009424FB" w:rsidRPr="009424FB" w:rsidRDefault="009424FB" w:rsidP="009424FB">
      <w:pPr>
        <w:rPr>
          <w:rFonts w:ascii="楷体" w:eastAsia="楷体" w:hAnsi="楷体" w:hint="eastAsia"/>
          <w:b/>
          <w:bCs/>
          <w:sz w:val="21"/>
          <w:szCs w:val="21"/>
        </w:rPr>
      </w:pPr>
      <w:bookmarkStart w:id="8" w:name="OLE_LINK1"/>
      <w:r w:rsidRPr="009424FB">
        <w:rPr>
          <w:rFonts w:ascii="楷体" w:eastAsia="楷体" w:hAnsi="楷体"/>
          <w:b/>
          <w:bCs/>
          <w:sz w:val="21"/>
          <w:szCs w:val="21"/>
        </w:rPr>
        <w:t xml:space="preserve">【Technological Forecasting &amp; Social Change】【2024-04】Estimating urban GDP growth using nighttime lights and machine learning techniques in data poor environments: The case of South Sudan </w:t>
      </w:r>
      <w:bookmarkEnd w:id="8"/>
      <w:r w:rsidRPr="009424FB">
        <w:rPr>
          <w:rFonts w:ascii="楷体" w:eastAsia="楷体" w:hAnsi="楷体"/>
          <w:b/>
          <w:bCs/>
          <w:sz w:val="21"/>
          <w:szCs w:val="21"/>
        </w:rPr>
        <w:t>（在数据匮乏环境下利用夜间灯光和机器学习技术估算城市GDP增长：以南苏丹为例）</w:t>
      </w:r>
    </w:p>
    <w:p w14:paraId="62264C90" w14:textId="77777777" w:rsidR="009424FB" w:rsidRPr="009424FB" w:rsidRDefault="009424FB" w:rsidP="009424FB">
      <w:pPr>
        <w:rPr>
          <w:rFonts w:ascii="楷体" w:eastAsia="楷体" w:hAnsi="楷体" w:hint="eastAsia"/>
          <w:sz w:val="21"/>
          <w:szCs w:val="21"/>
        </w:rPr>
      </w:pPr>
      <w:r w:rsidRPr="009424FB">
        <w:rPr>
          <w:rFonts w:ascii="楷体" w:eastAsia="楷体" w:hAnsi="楷体"/>
          <w:b/>
          <w:bCs/>
          <w:sz w:val="21"/>
          <w:szCs w:val="21"/>
        </w:rPr>
        <w:t>作者信息:</w:t>
      </w:r>
      <w:r w:rsidRPr="009424FB">
        <w:rPr>
          <w:rFonts w:ascii="Calibri" w:eastAsia="楷体" w:hAnsi="Calibri" w:cs="Calibri"/>
          <w:sz w:val="21"/>
          <w:szCs w:val="21"/>
        </w:rPr>
        <w:t> </w:t>
      </w:r>
      <w:r w:rsidRPr="009424FB">
        <w:rPr>
          <w:rFonts w:ascii="楷体" w:eastAsia="楷体" w:hAnsi="楷体"/>
          <w:sz w:val="21"/>
          <w:szCs w:val="21"/>
        </w:rPr>
        <w:t>本研究由卡内基梅隆大学非洲分校、牛津大学的 Patrick McSharry 与世界银行专家 Joseph Mawejje 共同完成。</w:t>
      </w:r>
    </w:p>
    <w:p w14:paraId="725426D9" w14:textId="77777777" w:rsidR="009424FB" w:rsidRPr="009424FB" w:rsidRDefault="009424FB" w:rsidP="009424FB">
      <w:pPr>
        <w:rPr>
          <w:rFonts w:ascii="楷体" w:eastAsia="楷体" w:hAnsi="楷体" w:hint="eastAsia"/>
          <w:sz w:val="21"/>
          <w:szCs w:val="21"/>
        </w:rPr>
      </w:pPr>
      <w:r w:rsidRPr="009424FB">
        <w:rPr>
          <w:rFonts w:ascii="楷体" w:eastAsia="楷体" w:hAnsi="楷体"/>
          <w:b/>
          <w:bCs/>
          <w:sz w:val="21"/>
          <w:szCs w:val="21"/>
        </w:rPr>
        <w:t>数据来源:</w:t>
      </w:r>
      <w:r w:rsidRPr="009424FB">
        <w:rPr>
          <w:rFonts w:ascii="Calibri" w:eastAsia="楷体" w:hAnsi="Calibri" w:cs="Calibri"/>
          <w:sz w:val="21"/>
          <w:szCs w:val="21"/>
        </w:rPr>
        <w:t> </w:t>
      </w:r>
      <w:r w:rsidRPr="009424FB">
        <w:rPr>
          <w:rFonts w:ascii="楷体" w:eastAsia="楷体" w:hAnsi="楷体"/>
          <w:sz w:val="21"/>
          <w:szCs w:val="21"/>
        </w:rPr>
        <w:t xml:space="preserve">研究整合了 2012 年至 2020 年的 VIIRS/DMSP 协调化月度夜间灯光数据；社会经济数据包括来自乌干达银行的贸易数据、南苏丹银行的私营部门信贷数据；环境与人口数据涵盖 NASA 的二氧化碳浓度、NDVI 植被指数、CRU 的降水与气温数据以及 </w:t>
      </w:r>
      <w:proofErr w:type="spellStart"/>
      <w:r w:rsidRPr="009424FB">
        <w:rPr>
          <w:rFonts w:ascii="楷体" w:eastAsia="楷体" w:hAnsi="楷体"/>
          <w:sz w:val="21"/>
          <w:szCs w:val="21"/>
        </w:rPr>
        <w:t>WorldPop</w:t>
      </w:r>
      <w:proofErr w:type="spellEnd"/>
      <w:r w:rsidRPr="009424FB">
        <w:rPr>
          <w:rFonts w:ascii="楷体" w:eastAsia="楷体" w:hAnsi="楷体"/>
          <w:sz w:val="21"/>
          <w:szCs w:val="21"/>
        </w:rPr>
        <w:t xml:space="preserve"> 人口分布；冲突数据源自 ACLED 项目。</w:t>
      </w:r>
    </w:p>
    <w:p w14:paraId="21633A4F" w14:textId="77777777" w:rsidR="009424FB" w:rsidRPr="009424FB" w:rsidRDefault="009424FB" w:rsidP="009424FB">
      <w:pPr>
        <w:rPr>
          <w:rFonts w:ascii="楷体" w:eastAsia="楷体" w:hAnsi="楷体" w:hint="eastAsia"/>
          <w:sz w:val="21"/>
          <w:szCs w:val="21"/>
        </w:rPr>
      </w:pPr>
      <w:r w:rsidRPr="009424FB">
        <w:rPr>
          <w:rFonts w:ascii="楷体" w:eastAsia="楷体" w:hAnsi="楷体"/>
          <w:b/>
          <w:bCs/>
          <w:sz w:val="21"/>
          <w:szCs w:val="21"/>
        </w:rPr>
        <w:t>核心贡献:</w:t>
      </w:r>
      <w:r w:rsidRPr="009424FB">
        <w:rPr>
          <w:rFonts w:ascii="Calibri" w:eastAsia="楷体" w:hAnsi="Calibri" w:cs="Calibri"/>
          <w:sz w:val="21"/>
          <w:szCs w:val="21"/>
        </w:rPr>
        <w:t> </w:t>
      </w:r>
      <w:r w:rsidRPr="009424FB">
        <w:rPr>
          <w:rFonts w:ascii="楷体" w:eastAsia="楷体" w:hAnsi="楷体"/>
          <w:sz w:val="21"/>
          <w:szCs w:val="21"/>
        </w:rPr>
        <w:t>核心贡献在于为南苏丹等受冲突影响、统计能力薄弱的“数据贫困”地区开发了一套估算城市经济表现的机器学习框架。研究创新性地利用二氧化碳排放、私营部门信贷、人口增长以及冲突和气候事件等非常规变量来预测夜间灯光（NTL）的波动，并进一步将预测的灯光增长转化为城市实际 GDP 增长率。该方法证明了在缺乏官方统计的情况下，结合遥感数据与机器学习特征选择（如后向逐步回归、LASSO）可以实现对脆弱地区经济动态的近实时监测和短期预测。</w:t>
      </w:r>
    </w:p>
    <w:p w14:paraId="23370895" w14:textId="5C30493D" w:rsidR="009424FB" w:rsidRPr="009424FB" w:rsidRDefault="009424FB" w:rsidP="009424FB">
      <w:pPr>
        <w:rPr>
          <w:rFonts w:ascii="楷体" w:eastAsia="楷体" w:hAnsi="楷体" w:hint="eastAsia"/>
          <w:sz w:val="21"/>
          <w:szCs w:val="21"/>
        </w:rPr>
      </w:pPr>
      <w:r w:rsidRPr="009424FB">
        <w:rPr>
          <w:rFonts w:ascii="楷体" w:eastAsia="楷体" w:hAnsi="楷体"/>
          <w:b/>
          <w:bCs/>
          <w:sz w:val="21"/>
          <w:szCs w:val="21"/>
        </w:rPr>
        <w:t>具体指标:</w:t>
      </w:r>
      <w:r w:rsidRPr="009424FB">
        <w:rPr>
          <w:rFonts w:ascii="Calibri" w:eastAsia="楷体" w:hAnsi="Calibri" w:cs="Calibri"/>
          <w:sz w:val="21"/>
          <w:szCs w:val="21"/>
        </w:rPr>
        <w:t> </w:t>
      </w:r>
      <w:r w:rsidRPr="009424FB">
        <w:rPr>
          <w:rFonts w:ascii="楷体" w:eastAsia="楷体" w:hAnsi="楷体"/>
          <w:sz w:val="21"/>
          <w:szCs w:val="21"/>
        </w:rPr>
        <w:t>研究采用 1.55 的弹性系数（即 NTL 每增长 1.55% 对应 GDP 增长 1%）进行转化。在模型效力方面，首都朱巴（Juba）的预测表现最好，交叉验证决定系数（</w:t>
      </w:r>
      <m:oMath>
        <m:sSup>
          <m:sSupPr>
            <m:ctrlPr>
              <w:rPr>
                <w:rFonts w:ascii="Cambria Math" w:eastAsia="楷体" w:hAnsi="Cambria Math"/>
                <w:sz w:val="21"/>
                <w:szCs w:val="21"/>
              </w:rPr>
            </m:ctrlPr>
          </m:sSupPr>
          <m:e>
            <m:r>
              <w:rPr>
                <w:rFonts w:ascii="Cambria Math" w:eastAsia="楷体" w:hAnsi="Cambria Math"/>
                <w:sz w:val="21"/>
                <w:szCs w:val="21"/>
              </w:rPr>
              <m:t>R</m:t>
            </m:r>
          </m:e>
          <m:sup>
            <m:r>
              <w:rPr>
                <w:rFonts w:ascii="Cambria Math" w:eastAsia="楷体" w:hAnsi="Cambria Math"/>
                <w:sz w:val="21"/>
                <w:szCs w:val="21"/>
              </w:rPr>
              <m:t>2</m:t>
            </m:r>
          </m:sup>
        </m:sSup>
      </m:oMath>
      <w:r w:rsidRPr="009424FB">
        <w:rPr>
          <w:rFonts w:ascii="楷体" w:eastAsia="楷体" w:hAnsi="楷体"/>
          <w:sz w:val="21"/>
          <w:szCs w:val="21"/>
        </w:rPr>
        <w:t>）达到 48.6%；综合三个主要城市的“城市南苏丹”模型在预测下一期灯光时的交叉验证</w:t>
      </w:r>
      <w:r w:rsidRPr="009424FB">
        <w:rPr>
          <w:rFonts w:ascii="Calibri" w:eastAsia="楷体" w:hAnsi="Calibri" w:cs="Calibri"/>
          <w:sz w:val="21"/>
          <w:szCs w:val="21"/>
        </w:rPr>
        <w:t> </w:t>
      </w:r>
      <m:oMath>
        <m:sSup>
          <m:sSupPr>
            <m:ctrlPr>
              <w:rPr>
                <w:rFonts w:ascii="Cambria Math" w:eastAsia="楷体" w:hAnsi="Cambria Math"/>
                <w:sz w:val="21"/>
                <w:szCs w:val="21"/>
              </w:rPr>
            </m:ctrlPr>
          </m:sSupPr>
          <m:e>
            <m:r>
              <w:rPr>
                <w:rFonts w:ascii="Cambria Math" w:eastAsia="楷体" w:hAnsi="Cambria Math"/>
                <w:sz w:val="21"/>
                <w:szCs w:val="21"/>
              </w:rPr>
              <m:t>R</m:t>
            </m:r>
          </m:e>
          <m:sup>
            <m:r>
              <w:rPr>
                <w:rFonts w:ascii="Cambria Math" w:eastAsia="楷体" w:hAnsi="Cambria Math"/>
                <w:sz w:val="21"/>
                <w:szCs w:val="21"/>
              </w:rPr>
              <m:t>2</m:t>
            </m:r>
          </m:sup>
        </m:sSup>
      </m:oMath>
      <w:r w:rsidRPr="009424FB">
        <w:rPr>
          <w:rFonts w:ascii="Calibri" w:eastAsia="楷体" w:hAnsi="Calibri" w:cs="Calibri"/>
          <w:sz w:val="21"/>
          <w:szCs w:val="21"/>
        </w:rPr>
        <w:t> </w:t>
      </w:r>
      <w:r w:rsidRPr="009424FB">
        <w:rPr>
          <w:rFonts w:ascii="楷体" w:eastAsia="楷体" w:hAnsi="楷体"/>
          <w:sz w:val="21"/>
          <w:szCs w:val="21"/>
        </w:rPr>
        <w:t>达到 59.0%。基于该模型，研究估算出南苏丹城市地区平均</w:t>
      </w:r>
      <w:proofErr w:type="gramStart"/>
      <w:r w:rsidRPr="009424FB">
        <w:rPr>
          <w:rFonts w:ascii="楷体" w:eastAsia="楷体" w:hAnsi="楷体"/>
          <w:sz w:val="21"/>
          <w:szCs w:val="21"/>
        </w:rPr>
        <w:t>季度环</w:t>
      </w:r>
      <w:proofErr w:type="gramEnd"/>
      <w:r w:rsidRPr="009424FB">
        <w:rPr>
          <w:rFonts w:ascii="楷体" w:eastAsia="楷体" w:hAnsi="楷体"/>
          <w:sz w:val="21"/>
          <w:szCs w:val="21"/>
        </w:rPr>
        <w:t>比 GDP 增长率为 2.11%。此外，私营部门信贷与城市灯光之间存在 65.3% 的强相关性。</w:t>
      </w:r>
    </w:p>
    <w:p w14:paraId="140208BA" w14:textId="26495069" w:rsidR="009424FB" w:rsidRPr="009424FB" w:rsidRDefault="009424FB" w:rsidP="009424FB">
      <w:pPr>
        <w:rPr>
          <w:rFonts w:ascii="楷体" w:eastAsia="楷体" w:hAnsi="楷体" w:hint="eastAsia"/>
          <w:sz w:val="21"/>
          <w:szCs w:val="21"/>
        </w:rPr>
      </w:pPr>
      <w:r w:rsidRPr="009424FB">
        <w:rPr>
          <w:rFonts w:ascii="楷体" w:eastAsia="楷体" w:hAnsi="楷体"/>
          <w:b/>
          <w:bCs/>
          <w:sz w:val="21"/>
          <w:szCs w:val="21"/>
        </w:rPr>
        <w:t>研究局限:</w:t>
      </w:r>
      <w:r w:rsidRPr="009424FB">
        <w:rPr>
          <w:rFonts w:ascii="Calibri" w:eastAsia="楷体" w:hAnsi="Calibri" w:cs="Calibri"/>
          <w:sz w:val="21"/>
          <w:szCs w:val="21"/>
        </w:rPr>
        <w:t> </w:t>
      </w:r>
      <w:r w:rsidRPr="009424FB">
        <w:rPr>
          <w:rFonts w:ascii="楷体" w:eastAsia="楷体" w:hAnsi="楷体"/>
          <w:sz w:val="21"/>
          <w:szCs w:val="21"/>
        </w:rPr>
        <w:t>夜间灯光作为经济活动的代理指标仍不完美，易受电力基础设施扩张（而非纯经济增长）的干扰；模型在不同城市间的表现差异巨大，在较小城市（如瓦乌）因数据噪声大而出现严重的过拟合现象（</w:t>
      </w:r>
      <m:oMath>
        <m:sSup>
          <m:sSupPr>
            <m:ctrlPr>
              <w:rPr>
                <w:rFonts w:ascii="Cambria Math" w:eastAsia="楷体" w:hAnsi="Cambria Math"/>
                <w:sz w:val="21"/>
                <w:szCs w:val="21"/>
              </w:rPr>
            </m:ctrlPr>
          </m:sSupPr>
          <m:e>
            <m:r>
              <w:rPr>
                <w:rFonts w:ascii="Cambria Math" w:eastAsia="楷体" w:hAnsi="Cambria Math"/>
                <w:sz w:val="21"/>
                <w:szCs w:val="21"/>
              </w:rPr>
              <m:t>R</m:t>
            </m:r>
          </m:e>
          <m:sup>
            <m:r>
              <w:rPr>
                <w:rFonts w:ascii="Cambria Math" w:eastAsia="楷体" w:hAnsi="Cambria Math"/>
                <w:sz w:val="21"/>
                <w:szCs w:val="21"/>
              </w:rPr>
              <m:t>2</m:t>
            </m:r>
          </m:sup>
        </m:sSup>
      </m:oMath>
      <w:r w:rsidRPr="009424FB">
        <w:rPr>
          <w:rFonts w:ascii="Calibri" w:eastAsia="楷体" w:hAnsi="Calibri" w:cs="Calibri"/>
          <w:sz w:val="21"/>
          <w:szCs w:val="21"/>
        </w:rPr>
        <w:t> </w:t>
      </w:r>
      <w:r w:rsidRPr="009424FB">
        <w:rPr>
          <w:rFonts w:ascii="楷体" w:eastAsia="楷体" w:hAnsi="楷体"/>
          <w:sz w:val="21"/>
          <w:szCs w:val="21"/>
        </w:rPr>
        <w:t>仅为 0.7%）；此外，研究高度依赖于从其他地区迁移而来的弹性系数假设，且受限于当地互联网普及率，无法利用 Google 移动趋势等更高频的辅助数据。</w:t>
      </w:r>
    </w:p>
    <w:p w14:paraId="2DDEC676" w14:textId="77777777" w:rsidR="009424FB" w:rsidRPr="009424FB" w:rsidRDefault="009424FB">
      <w:pPr>
        <w:rPr>
          <w:rFonts w:ascii="楷体" w:eastAsia="楷体" w:hAnsi="楷体" w:hint="eastAsia"/>
          <w:sz w:val="21"/>
          <w:szCs w:val="21"/>
        </w:rPr>
      </w:pPr>
    </w:p>
    <w:p w14:paraId="4CF26E9B" w14:textId="77777777" w:rsidR="00206D99" w:rsidRPr="00206D99" w:rsidRDefault="00206D99" w:rsidP="00206D99">
      <w:pPr>
        <w:rPr>
          <w:rFonts w:ascii="楷体" w:eastAsia="楷体" w:hAnsi="楷体" w:hint="eastAsia"/>
          <w:b/>
          <w:bCs/>
          <w:sz w:val="21"/>
          <w:szCs w:val="21"/>
        </w:rPr>
      </w:pPr>
      <w:bookmarkStart w:id="9" w:name="OLE_LINK8"/>
      <w:r w:rsidRPr="00206D99">
        <w:rPr>
          <w:rFonts w:ascii="楷体" w:eastAsia="楷体" w:hAnsi="楷体"/>
          <w:b/>
          <w:bCs/>
          <w:sz w:val="21"/>
          <w:szCs w:val="21"/>
        </w:rPr>
        <w:lastRenderedPageBreak/>
        <w:t xml:space="preserve">【Humanities &amp; Social Sciences Communications】【2023-10】From the coast to the interior: global economic evolution patterns and mechanisms </w:t>
      </w:r>
      <w:bookmarkEnd w:id="9"/>
      <w:r w:rsidRPr="00206D99">
        <w:rPr>
          <w:rFonts w:ascii="楷体" w:eastAsia="楷体" w:hAnsi="楷体"/>
          <w:b/>
          <w:bCs/>
          <w:sz w:val="21"/>
          <w:szCs w:val="21"/>
        </w:rPr>
        <w:t>（从沿海到内陆：全球经济演变模式与机制）</w:t>
      </w:r>
    </w:p>
    <w:p w14:paraId="0B8A14A4" w14:textId="77777777" w:rsidR="00206D99" w:rsidRPr="00206D99" w:rsidRDefault="00206D99" w:rsidP="00206D99">
      <w:pPr>
        <w:rPr>
          <w:rFonts w:ascii="楷体" w:eastAsia="楷体" w:hAnsi="楷体" w:hint="eastAsia"/>
          <w:sz w:val="21"/>
          <w:szCs w:val="21"/>
        </w:rPr>
      </w:pPr>
      <w:r w:rsidRPr="00206D99">
        <w:rPr>
          <w:rFonts w:ascii="楷体" w:eastAsia="楷体" w:hAnsi="楷体"/>
          <w:b/>
          <w:bCs/>
          <w:sz w:val="21"/>
          <w:szCs w:val="21"/>
        </w:rPr>
        <w:t>作者信息:</w:t>
      </w:r>
      <w:r w:rsidRPr="00206D99">
        <w:rPr>
          <w:rFonts w:ascii="Calibri" w:eastAsia="楷体" w:hAnsi="Calibri" w:cs="Calibri"/>
          <w:sz w:val="21"/>
          <w:szCs w:val="21"/>
        </w:rPr>
        <w:t> </w:t>
      </w:r>
      <w:r w:rsidRPr="00206D99">
        <w:rPr>
          <w:rFonts w:ascii="楷体" w:eastAsia="楷体" w:hAnsi="楷体"/>
          <w:sz w:val="21"/>
          <w:szCs w:val="21"/>
        </w:rPr>
        <w:t>本研究由</w:t>
      </w:r>
      <w:bookmarkStart w:id="10" w:name="OLE_LINK9"/>
      <w:r w:rsidRPr="00206D99">
        <w:rPr>
          <w:rFonts w:ascii="楷体" w:eastAsia="楷体" w:hAnsi="楷体"/>
          <w:sz w:val="21"/>
          <w:szCs w:val="21"/>
        </w:rPr>
        <w:t>大连海事大学金晓明</w:t>
      </w:r>
      <w:bookmarkEnd w:id="10"/>
      <w:r w:rsidRPr="00206D99">
        <w:rPr>
          <w:rFonts w:ascii="楷体" w:eastAsia="楷体" w:hAnsi="楷体"/>
          <w:sz w:val="21"/>
          <w:szCs w:val="21"/>
        </w:rPr>
        <w:t>、栾维新及辽宁师范大学杨俊等学者领衔的多学科团队完成。</w:t>
      </w:r>
    </w:p>
    <w:p w14:paraId="4B46935F" w14:textId="77777777" w:rsidR="00206D99" w:rsidRPr="00206D99" w:rsidRDefault="00206D99" w:rsidP="00206D99">
      <w:pPr>
        <w:rPr>
          <w:rFonts w:ascii="楷体" w:eastAsia="楷体" w:hAnsi="楷体" w:hint="eastAsia"/>
          <w:sz w:val="21"/>
          <w:szCs w:val="21"/>
        </w:rPr>
      </w:pPr>
      <w:r w:rsidRPr="00206D99">
        <w:rPr>
          <w:rFonts w:ascii="楷体" w:eastAsia="楷体" w:hAnsi="楷体"/>
          <w:b/>
          <w:bCs/>
          <w:sz w:val="21"/>
          <w:szCs w:val="21"/>
        </w:rPr>
        <w:t>数据来源:</w:t>
      </w:r>
      <w:r w:rsidRPr="00206D99">
        <w:rPr>
          <w:rFonts w:ascii="Calibri" w:eastAsia="楷体" w:hAnsi="Calibri" w:cs="Calibri"/>
          <w:sz w:val="21"/>
          <w:szCs w:val="21"/>
        </w:rPr>
        <w:t> </w:t>
      </w:r>
      <w:r w:rsidRPr="00206D99">
        <w:rPr>
          <w:rFonts w:ascii="楷体" w:eastAsia="楷体" w:hAnsi="楷体"/>
          <w:sz w:val="21"/>
          <w:szCs w:val="21"/>
        </w:rPr>
        <w:t>研究整合了多源卫星夜间灯光（NTL）数据、全球社会经济统计数据（如 UNCTAD 和世界银行的 GDP 数据），以及全球海岸线、无冰海岸及通航河流的地理空间矢量数据。</w:t>
      </w:r>
    </w:p>
    <w:p w14:paraId="6D907B66" w14:textId="77777777" w:rsidR="00206D99" w:rsidRPr="00206D99" w:rsidRDefault="00206D99" w:rsidP="00206D99">
      <w:pPr>
        <w:rPr>
          <w:rFonts w:ascii="楷体" w:eastAsia="楷体" w:hAnsi="楷体" w:hint="eastAsia"/>
          <w:sz w:val="21"/>
          <w:szCs w:val="21"/>
        </w:rPr>
      </w:pPr>
      <w:r w:rsidRPr="00206D99">
        <w:rPr>
          <w:rFonts w:ascii="楷体" w:eastAsia="楷体" w:hAnsi="楷体"/>
          <w:b/>
          <w:bCs/>
          <w:sz w:val="21"/>
          <w:szCs w:val="21"/>
        </w:rPr>
        <w:t>核心贡献:</w:t>
      </w:r>
      <w:r w:rsidRPr="00206D99">
        <w:rPr>
          <w:rFonts w:ascii="Calibri" w:eastAsia="楷体" w:hAnsi="Calibri" w:cs="Calibri"/>
          <w:sz w:val="21"/>
          <w:szCs w:val="21"/>
        </w:rPr>
        <w:t> </w:t>
      </w:r>
      <w:r w:rsidRPr="00206D99">
        <w:rPr>
          <w:rFonts w:ascii="楷体" w:eastAsia="楷体" w:hAnsi="楷体"/>
          <w:sz w:val="21"/>
          <w:szCs w:val="21"/>
        </w:rPr>
        <w:t>核心贡献在于利用随机森林算法和夜间灯光数据，量化了全球及各大洲沿海 100 公里范围内（“近岸地区”）与内陆地区（“远岸地区”）的经济分布演变。研究挑战了“经济要素持续向沿海集聚”的传统认知，提出了全球经济正呈现“沿海疏离”（coastal remoteness）的演变模式，即经济重心逐渐向内陆偏移，并从海外运输成本降低和规模不经济（如沿海拥堵、地价上涨）的角度揭示了其内在机制。</w:t>
      </w:r>
    </w:p>
    <w:p w14:paraId="5ADAFABA" w14:textId="77777777" w:rsidR="00206D99" w:rsidRPr="00206D99" w:rsidRDefault="00206D99" w:rsidP="00206D99">
      <w:pPr>
        <w:rPr>
          <w:rFonts w:ascii="楷体" w:eastAsia="楷体" w:hAnsi="楷体" w:hint="eastAsia"/>
          <w:sz w:val="21"/>
          <w:szCs w:val="21"/>
        </w:rPr>
      </w:pPr>
      <w:r w:rsidRPr="00206D99">
        <w:rPr>
          <w:rFonts w:ascii="楷体" w:eastAsia="楷体" w:hAnsi="楷体"/>
          <w:b/>
          <w:bCs/>
          <w:sz w:val="21"/>
          <w:szCs w:val="21"/>
        </w:rPr>
        <w:t>具体指标:</w:t>
      </w:r>
      <w:r w:rsidRPr="00206D99">
        <w:rPr>
          <w:rFonts w:ascii="Calibri" w:eastAsia="楷体" w:hAnsi="Calibri" w:cs="Calibri"/>
          <w:sz w:val="21"/>
          <w:szCs w:val="21"/>
        </w:rPr>
        <w:t> </w:t>
      </w:r>
      <w:r w:rsidRPr="00206D99">
        <w:rPr>
          <w:rFonts w:ascii="楷体" w:eastAsia="楷体" w:hAnsi="楷体"/>
          <w:sz w:val="21"/>
          <w:szCs w:val="21"/>
        </w:rPr>
        <w:t xml:space="preserve">研究发现，全球“近岸地区”的 GDP 占比从 2000 年的 67.25% 下降至 2018 年的 63.02%，而“远岸地区”占比则相应上升。近岸与远岸地区的 GDP 密度差距从 9.3 </w:t>
      </w:r>
      <w:proofErr w:type="gramStart"/>
      <w:r w:rsidRPr="00206D99">
        <w:rPr>
          <w:rFonts w:ascii="楷体" w:eastAsia="楷体" w:hAnsi="楷体"/>
          <w:sz w:val="21"/>
          <w:szCs w:val="21"/>
        </w:rPr>
        <w:t>倍</w:t>
      </w:r>
      <w:proofErr w:type="gramEnd"/>
      <w:r w:rsidRPr="00206D99">
        <w:rPr>
          <w:rFonts w:ascii="楷体" w:eastAsia="楷体" w:hAnsi="楷体"/>
          <w:sz w:val="21"/>
          <w:szCs w:val="21"/>
        </w:rPr>
        <w:t>缩小至 7.7 倍。</w:t>
      </w:r>
      <w:proofErr w:type="gramStart"/>
      <w:r w:rsidRPr="00206D99">
        <w:rPr>
          <w:rFonts w:ascii="楷体" w:eastAsia="楷体" w:hAnsi="楷体"/>
          <w:sz w:val="21"/>
          <w:szCs w:val="21"/>
        </w:rPr>
        <w:t>分洲来看</w:t>
      </w:r>
      <w:proofErr w:type="gramEnd"/>
      <w:r w:rsidRPr="00206D99">
        <w:rPr>
          <w:rFonts w:ascii="楷体" w:eastAsia="楷体" w:hAnsi="楷体"/>
          <w:sz w:val="21"/>
          <w:szCs w:val="21"/>
        </w:rPr>
        <w:t>，亚洲、南美洲和大洋洲表现出明显的向内陆偏移趋势（如亚洲近岸 GDP 占比从 79.58% 降至 69.25%）；相比之下，非洲是唯一呈现“沿海趋向”模式的大洲，其近岸经济占比从 47.55% 上升至 48.88%。</w:t>
      </w:r>
    </w:p>
    <w:p w14:paraId="1DD1A962" w14:textId="659E90ED" w:rsidR="00206D99" w:rsidRPr="00206D99" w:rsidRDefault="00206D99" w:rsidP="00206D99">
      <w:pPr>
        <w:rPr>
          <w:rFonts w:ascii="楷体" w:eastAsia="楷体" w:hAnsi="楷体" w:hint="eastAsia"/>
          <w:sz w:val="21"/>
          <w:szCs w:val="21"/>
        </w:rPr>
      </w:pPr>
      <w:r w:rsidRPr="00206D99">
        <w:rPr>
          <w:rFonts w:ascii="楷体" w:eastAsia="楷体" w:hAnsi="楷体"/>
          <w:b/>
          <w:bCs/>
          <w:sz w:val="21"/>
          <w:szCs w:val="21"/>
        </w:rPr>
        <w:t>研究局限:</w:t>
      </w:r>
      <w:r w:rsidRPr="00206D99">
        <w:rPr>
          <w:rFonts w:ascii="Calibri" w:eastAsia="楷体" w:hAnsi="Calibri" w:cs="Calibri"/>
          <w:sz w:val="21"/>
          <w:szCs w:val="21"/>
        </w:rPr>
        <w:t> </w:t>
      </w:r>
      <w:r w:rsidRPr="00206D99">
        <w:rPr>
          <w:rFonts w:ascii="楷体" w:eastAsia="楷体" w:hAnsi="楷体"/>
          <w:sz w:val="21"/>
          <w:szCs w:val="21"/>
        </w:rPr>
        <w:t>由于缺乏更细粒度的多</w:t>
      </w:r>
      <w:proofErr w:type="gramStart"/>
      <w:r w:rsidRPr="00206D99">
        <w:rPr>
          <w:rFonts w:ascii="楷体" w:eastAsia="楷体" w:hAnsi="楷体"/>
          <w:sz w:val="21"/>
          <w:szCs w:val="21"/>
        </w:rPr>
        <w:t>源数据</w:t>
      </w:r>
      <w:proofErr w:type="gramEnd"/>
      <w:r w:rsidRPr="00206D99">
        <w:rPr>
          <w:rFonts w:ascii="楷体" w:eastAsia="楷体" w:hAnsi="楷体"/>
          <w:sz w:val="21"/>
          <w:szCs w:val="21"/>
        </w:rPr>
        <w:t>支持，对经济演变驱动因素的统计溯源分析尚不够深入；受限于篇幅和数据获取，未能对全球和洲际层面的演变机制进行详尽的因果推断统计分析；此外，对不同工业化阶段与海洋运输优势之间关系的理论解释可能存在一定的主观性，未来需结合传感器网络和社会网络数据进行更精确的验证。</w:t>
      </w:r>
    </w:p>
    <w:bookmarkEnd w:id="2"/>
    <w:p w14:paraId="045D608A" w14:textId="77777777" w:rsidR="00206D99" w:rsidRPr="00206D99" w:rsidRDefault="00206D99">
      <w:pPr>
        <w:rPr>
          <w:rFonts w:ascii="楷体" w:eastAsia="楷体" w:hAnsi="楷体" w:hint="eastAsia"/>
          <w:sz w:val="21"/>
          <w:szCs w:val="21"/>
        </w:rPr>
      </w:pPr>
    </w:p>
    <w:sectPr w:rsidR="00206D99" w:rsidRPr="00206D9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34D7FA" w14:textId="77777777" w:rsidR="00761E55" w:rsidRDefault="00761E55">
      <w:pPr>
        <w:spacing w:line="240" w:lineRule="auto"/>
        <w:rPr>
          <w:rFonts w:hint="eastAsia"/>
        </w:rPr>
      </w:pPr>
      <w:r>
        <w:separator/>
      </w:r>
    </w:p>
  </w:endnote>
  <w:endnote w:type="continuationSeparator" w:id="0">
    <w:p w14:paraId="33C4C3C1" w14:textId="77777777" w:rsidR="00761E55" w:rsidRDefault="00761E55">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66923" w14:textId="77777777" w:rsidR="00761E55" w:rsidRDefault="00761E55">
      <w:pPr>
        <w:spacing w:after="0"/>
        <w:rPr>
          <w:rFonts w:hint="eastAsia"/>
        </w:rPr>
      </w:pPr>
      <w:r>
        <w:separator/>
      </w:r>
    </w:p>
  </w:footnote>
  <w:footnote w:type="continuationSeparator" w:id="0">
    <w:p w14:paraId="2D63BBB9" w14:textId="77777777" w:rsidR="00761E55" w:rsidRDefault="00761E55">
      <w:pPr>
        <w:spacing w:after="0"/>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3B15"/>
    <w:rsid w:val="00010E68"/>
    <w:rsid w:val="0002061E"/>
    <w:rsid w:val="00104ECE"/>
    <w:rsid w:val="001245EF"/>
    <w:rsid w:val="00187956"/>
    <w:rsid w:val="00206D99"/>
    <w:rsid w:val="0021381E"/>
    <w:rsid w:val="0031086A"/>
    <w:rsid w:val="003145B3"/>
    <w:rsid w:val="00343A5F"/>
    <w:rsid w:val="003B43B3"/>
    <w:rsid w:val="00433794"/>
    <w:rsid w:val="00495CF8"/>
    <w:rsid w:val="004B6B4D"/>
    <w:rsid w:val="004F4008"/>
    <w:rsid w:val="00560E69"/>
    <w:rsid w:val="006251FC"/>
    <w:rsid w:val="006842F3"/>
    <w:rsid w:val="006913E2"/>
    <w:rsid w:val="006B293A"/>
    <w:rsid w:val="00761E55"/>
    <w:rsid w:val="007D1F6D"/>
    <w:rsid w:val="007D46A5"/>
    <w:rsid w:val="007F337B"/>
    <w:rsid w:val="00824ECB"/>
    <w:rsid w:val="008716F2"/>
    <w:rsid w:val="008802A8"/>
    <w:rsid w:val="008F6115"/>
    <w:rsid w:val="009424FB"/>
    <w:rsid w:val="0095669A"/>
    <w:rsid w:val="009C1633"/>
    <w:rsid w:val="00A34071"/>
    <w:rsid w:val="00A6636E"/>
    <w:rsid w:val="00AE316B"/>
    <w:rsid w:val="00B94410"/>
    <w:rsid w:val="00B96F8E"/>
    <w:rsid w:val="00CF2165"/>
    <w:rsid w:val="00D0237E"/>
    <w:rsid w:val="00D173BA"/>
    <w:rsid w:val="00D53B70"/>
    <w:rsid w:val="00E23B15"/>
    <w:rsid w:val="00E51856"/>
    <w:rsid w:val="00E81C0C"/>
    <w:rsid w:val="00EC4176"/>
    <w:rsid w:val="00EF20F4"/>
    <w:rsid w:val="00F77AAF"/>
    <w:rsid w:val="00F929B5"/>
    <w:rsid w:val="00FC65F3"/>
    <w:rsid w:val="00FD2006"/>
    <w:rsid w:val="25332B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8EE542"/>
  <w15:docId w15:val="{2757C426-82DE-4EC6-9F26-3C9820A7E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kern w:val="2"/>
      <w:sz w:val="22"/>
      <w:szCs w:val="24"/>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link w:val="a4"/>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a5">
    <w:name w:val="Title"/>
    <w:basedOn w:val="a"/>
    <w:next w:val="a"/>
    <w:link w:val="a6"/>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10">
    <w:name w:val="标题 1 字符"/>
    <w:basedOn w:val="a0"/>
    <w:link w:val="1"/>
    <w:uiPriority w:val="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Pr>
      <w:rFonts w:cstheme="majorBidi"/>
      <w:color w:val="2F5496" w:themeColor="accent1" w:themeShade="BF"/>
      <w:sz w:val="28"/>
      <w:szCs w:val="28"/>
    </w:rPr>
  </w:style>
  <w:style w:type="character" w:customStyle="1" w:styleId="50">
    <w:name w:val="标题 5 字符"/>
    <w:basedOn w:val="a0"/>
    <w:link w:val="5"/>
    <w:uiPriority w:val="9"/>
    <w:semiHidden/>
    <w:rPr>
      <w:rFonts w:cstheme="majorBidi"/>
      <w:color w:val="2F5496" w:themeColor="accent1" w:themeShade="BF"/>
      <w:sz w:val="24"/>
    </w:rPr>
  </w:style>
  <w:style w:type="character" w:customStyle="1" w:styleId="60">
    <w:name w:val="标题 6 字符"/>
    <w:basedOn w:val="a0"/>
    <w:link w:val="6"/>
    <w:uiPriority w:val="9"/>
    <w:semiHidden/>
    <w:rPr>
      <w:rFonts w:cstheme="majorBidi"/>
      <w:b/>
      <w:bCs/>
      <w:color w:val="2F5496" w:themeColor="accent1" w:themeShade="BF"/>
    </w:rPr>
  </w:style>
  <w:style w:type="character" w:customStyle="1" w:styleId="70">
    <w:name w:val="标题 7 字符"/>
    <w:basedOn w:val="a0"/>
    <w:link w:val="7"/>
    <w:uiPriority w:val="9"/>
    <w:semiHidden/>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rPr>
      <w:rFonts w:eastAsiaTheme="majorEastAsia" w:cstheme="majorBidi"/>
      <w:color w:val="595959" w:themeColor="text1" w:themeTint="A6"/>
    </w:rPr>
  </w:style>
  <w:style w:type="character" w:customStyle="1" w:styleId="a6">
    <w:name w:val="标题 字符"/>
    <w:basedOn w:val="a0"/>
    <w:link w:val="a5"/>
    <w:uiPriority w:val="10"/>
    <w:rPr>
      <w:rFonts w:asciiTheme="majorHAnsi" w:eastAsiaTheme="majorEastAsia" w:hAnsiTheme="majorHAnsi" w:cstheme="majorBidi"/>
      <w:spacing w:val="-10"/>
      <w:kern w:val="28"/>
      <w:sz w:val="56"/>
      <w:szCs w:val="56"/>
    </w:rPr>
  </w:style>
  <w:style w:type="character" w:customStyle="1" w:styleId="a4">
    <w:name w:val="副标题 字符"/>
    <w:basedOn w:val="a0"/>
    <w:link w:val="a3"/>
    <w:uiPriority w:val="1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pPr>
      <w:spacing w:before="160"/>
      <w:jc w:val="center"/>
    </w:pPr>
    <w:rPr>
      <w:i/>
      <w:iCs/>
      <w:color w:val="404040" w:themeColor="text1" w:themeTint="BF"/>
    </w:rPr>
  </w:style>
  <w:style w:type="character" w:customStyle="1" w:styleId="a8">
    <w:name w:val="引用 字符"/>
    <w:basedOn w:val="a0"/>
    <w:link w:val="a7"/>
    <w:uiPriority w:val="29"/>
    <w:rPr>
      <w:i/>
      <w:iCs/>
      <w:color w:val="404040" w:themeColor="text1" w:themeTint="BF"/>
    </w:rPr>
  </w:style>
  <w:style w:type="paragraph" w:styleId="a9">
    <w:name w:val="List Paragraph"/>
    <w:basedOn w:val="a"/>
    <w:uiPriority w:val="34"/>
    <w:qFormat/>
    <w:pPr>
      <w:ind w:left="720"/>
      <w:contextualSpacing/>
    </w:pPr>
  </w:style>
  <w:style w:type="character" w:customStyle="1" w:styleId="11">
    <w:name w:val="明显强调1"/>
    <w:basedOn w:val="a0"/>
    <w:uiPriority w:val="21"/>
    <w:qFormat/>
    <w:rPr>
      <w:i/>
      <w:iCs/>
      <w:color w:val="2F5496" w:themeColor="accent1" w:themeShade="BF"/>
    </w:rPr>
  </w:style>
  <w:style w:type="paragraph" w:styleId="aa">
    <w:name w:val="Intense Quote"/>
    <w:basedOn w:val="a"/>
    <w:next w:val="a"/>
    <w:link w:val="ab"/>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b">
    <w:name w:val="明显引用 字符"/>
    <w:basedOn w:val="a0"/>
    <w:link w:val="aa"/>
    <w:uiPriority w:val="30"/>
    <w:rPr>
      <w:i/>
      <w:iCs/>
      <w:color w:val="2F5496" w:themeColor="accent1" w:themeShade="BF"/>
    </w:rPr>
  </w:style>
  <w:style w:type="character" w:customStyle="1" w:styleId="12">
    <w:name w:val="明显参考1"/>
    <w:basedOn w:val="a0"/>
    <w:uiPriority w:val="32"/>
    <w:qFormat/>
    <w:rPr>
      <w:b/>
      <w:bCs/>
      <w:smallCaps/>
      <w:color w:val="2F5496" w:themeColor="accent1" w:themeShade="BF"/>
      <w:spacing w:val="5"/>
    </w:rPr>
  </w:style>
  <w:style w:type="paragraph" w:styleId="ac">
    <w:name w:val="header"/>
    <w:basedOn w:val="a"/>
    <w:link w:val="ad"/>
    <w:uiPriority w:val="99"/>
    <w:unhideWhenUsed/>
    <w:rsid w:val="004B6B4D"/>
    <w:pPr>
      <w:tabs>
        <w:tab w:val="center" w:pos="4153"/>
        <w:tab w:val="right" w:pos="8306"/>
      </w:tabs>
      <w:snapToGrid w:val="0"/>
      <w:spacing w:line="240" w:lineRule="auto"/>
      <w:jc w:val="center"/>
    </w:pPr>
    <w:rPr>
      <w:sz w:val="18"/>
      <w:szCs w:val="18"/>
    </w:rPr>
  </w:style>
  <w:style w:type="character" w:customStyle="1" w:styleId="ad">
    <w:name w:val="页眉 字符"/>
    <w:basedOn w:val="a0"/>
    <w:link w:val="ac"/>
    <w:uiPriority w:val="99"/>
    <w:rsid w:val="004B6B4D"/>
    <w:rPr>
      <w:kern w:val="2"/>
      <w:sz w:val="18"/>
      <w:szCs w:val="18"/>
      <w14:ligatures w14:val="standardContextual"/>
    </w:rPr>
  </w:style>
  <w:style w:type="paragraph" w:styleId="ae">
    <w:name w:val="footer"/>
    <w:basedOn w:val="a"/>
    <w:link w:val="af"/>
    <w:uiPriority w:val="99"/>
    <w:unhideWhenUsed/>
    <w:rsid w:val="004B6B4D"/>
    <w:pPr>
      <w:tabs>
        <w:tab w:val="center" w:pos="4153"/>
        <w:tab w:val="right" w:pos="8306"/>
      </w:tabs>
      <w:snapToGrid w:val="0"/>
      <w:spacing w:line="240" w:lineRule="auto"/>
    </w:pPr>
    <w:rPr>
      <w:sz w:val="18"/>
      <w:szCs w:val="18"/>
    </w:rPr>
  </w:style>
  <w:style w:type="character" w:customStyle="1" w:styleId="af">
    <w:name w:val="页脚 字符"/>
    <w:basedOn w:val="a0"/>
    <w:link w:val="ae"/>
    <w:uiPriority w:val="99"/>
    <w:rsid w:val="004B6B4D"/>
    <w:rPr>
      <w:kern w:val="2"/>
      <w:sz w:val="18"/>
      <w:szCs w:val="18"/>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3656</TotalTime>
  <Pages>4</Pages>
  <Words>2243</Words>
  <Characters>2761</Characters>
  <Application>Microsoft Office Word</Application>
  <DocSecurity>0</DocSecurity>
  <Lines>76</Lines>
  <Paragraphs>34</Paragraphs>
  <ScaleCrop>false</ScaleCrop>
  <Company/>
  <LinksUpToDate>false</LinksUpToDate>
  <CharactersWithSpaces>4970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Dayan Guan</dc:creator>
  <cp:keywords/>
  <dc:description/>
  <cp:lastModifiedBy>Dayan Guan</cp:lastModifiedBy>
  <cp:revision>4</cp:revision>
  <dcterms:created xsi:type="dcterms:W3CDTF">2025-07-15T06:54:00Z</dcterms:created>
  <dcterms:modified xsi:type="dcterms:W3CDTF">2026-02-03T07:18:00Z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eyJoZGlkIjoiMzEwNTM5NzYwMDRjMzkwZTVkZjY2ODkwMGIxNGU0OTUiLCJ1c2VySWQiOiIxNTY1NDI4NDk3In0=</vt:lpwstr>
  </property>
  <property fmtid="{D5CDD505-2E9C-101B-9397-08002B2CF9AE}" pid="3" name="KSOProductBuildVer">
    <vt:lpwstr>2052-12.1.0.24034</vt:lpwstr>
  </property>
  <property fmtid="{D5CDD505-2E9C-101B-9397-08002B2CF9AE}" pid="4" name="ICV">
    <vt:lpwstr>36855026BB004AD7B60217C00C2B5527_12</vt:lpwstr>
  </property>
</Properties>
</file>