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A597" w14:textId="77777777" w:rsidR="006D7F2C" w:rsidRPr="001D7589" w:rsidRDefault="006D7F2C" w:rsidP="006D7F2C">
      <w:pPr>
        <w:rPr>
          <w:rFonts w:ascii="楷体" w:eastAsia="楷体" w:hAnsi="楷体" w:hint="eastAsia"/>
          <w:b/>
          <w:bCs/>
          <w:sz w:val="21"/>
          <w:szCs w:val="21"/>
        </w:rPr>
      </w:pPr>
      <w:bookmarkStart w:id="0" w:name="OLE_LINK3"/>
      <w:bookmarkStart w:id="1" w:name="OLE_LINK1"/>
      <w:bookmarkStart w:id="2" w:name="OLE_LINK6"/>
      <w:r w:rsidRPr="001D7589">
        <w:rPr>
          <w:rFonts w:ascii="楷体" w:eastAsia="楷体" w:hAnsi="楷体"/>
          <w:b/>
          <w:bCs/>
          <w:sz w:val="21"/>
          <w:szCs w:val="21"/>
        </w:rPr>
        <w:t xml:space="preserve">【Nature】【2022-11】Using machine learning to assess the livelihood impact of electricity access </w:t>
      </w:r>
      <w:bookmarkEnd w:id="0"/>
      <w:r w:rsidRPr="001D7589">
        <w:rPr>
          <w:rFonts w:ascii="楷体" w:eastAsia="楷体" w:hAnsi="楷体"/>
          <w:b/>
          <w:bCs/>
          <w:sz w:val="21"/>
          <w:szCs w:val="21"/>
        </w:rPr>
        <w:t>（利用机器学习评估电力接入对生计的影响）</w:t>
      </w:r>
    </w:p>
    <w:p w14:paraId="584468FF" w14:textId="77777777" w:rsidR="006D7F2C" w:rsidRPr="001D7589" w:rsidRDefault="006D7F2C" w:rsidP="006D7F2C">
      <w:pPr>
        <w:rPr>
          <w:rFonts w:ascii="楷体" w:eastAsia="楷体" w:hAnsi="楷体" w:hint="eastAsia"/>
          <w:sz w:val="21"/>
          <w:szCs w:val="21"/>
        </w:rPr>
      </w:pPr>
      <w:r w:rsidRPr="001D7589">
        <w:rPr>
          <w:rFonts w:ascii="楷体" w:eastAsia="楷体" w:hAnsi="楷体"/>
          <w:b/>
          <w:bCs/>
          <w:sz w:val="21"/>
          <w:szCs w:val="21"/>
        </w:rPr>
        <w:t>作者信息:</w:t>
      </w:r>
      <w:r w:rsidRPr="001D7589">
        <w:rPr>
          <w:rFonts w:ascii="楷体" w:eastAsia="楷体" w:hAnsi="楷体"/>
          <w:sz w:val="21"/>
          <w:szCs w:val="21"/>
        </w:rPr>
        <w:t xml:space="preserve"> 本研究由斯坦福大学 Nathan Ratledge、Marshall Burke 等来自环境、经济及计算机科学领域的专家团队合作完成。</w:t>
      </w:r>
    </w:p>
    <w:p w14:paraId="537CE1FE" w14:textId="77777777" w:rsidR="006D7F2C" w:rsidRPr="001D7589" w:rsidRDefault="006D7F2C" w:rsidP="006D7F2C">
      <w:pPr>
        <w:rPr>
          <w:rFonts w:ascii="楷体" w:eastAsia="楷体" w:hAnsi="楷体" w:hint="eastAsia"/>
          <w:sz w:val="21"/>
          <w:szCs w:val="21"/>
        </w:rPr>
      </w:pPr>
      <w:r w:rsidRPr="001D7589">
        <w:rPr>
          <w:rFonts w:ascii="楷体" w:eastAsia="楷体" w:hAnsi="楷体"/>
          <w:b/>
          <w:bCs/>
          <w:sz w:val="21"/>
          <w:szCs w:val="21"/>
        </w:rPr>
        <w:t>数据来源:</w:t>
      </w:r>
      <w:r w:rsidRPr="001D7589">
        <w:rPr>
          <w:rFonts w:ascii="楷体" w:eastAsia="楷体" w:hAnsi="楷体"/>
          <w:sz w:val="21"/>
          <w:szCs w:val="21"/>
        </w:rPr>
        <w:t xml:space="preserve"> 研究整合了撒哈拉以南非洲 25 </w:t>
      </w:r>
      <w:proofErr w:type="gramStart"/>
      <w:r w:rsidRPr="001D7589">
        <w:rPr>
          <w:rFonts w:ascii="楷体" w:eastAsia="楷体" w:hAnsi="楷体"/>
          <w:sz w:val="21"/>
          <w:szCs w:val="21"/>
        </w:rPr>
        <w:t>个</w:t>
      </w:r>
      <w:proofErr w:type="gramEnd"/>
      <w:r w:rsidRPr="001D7589">
        <w:rPr>
          <w:rFonts w:ascii="楷体" w:eastAsia="楷体" w:hAnsi="楷体"/>
          <w:sz w:val="21"/>
          <w:szCs w:val="21"/>
        </w:rPr>
        <w:t>国家的“人口与健康调查”（DHS）数据（涵盖约 64 万户家庭和 2.7 万个集群）、Landsat 系列卫星的 30 米分辨率日间遥感图像，以及通过数字化历史地图构建的乌干达全国电网扩张时间序列数据（2005-2018 年）。</w:t>
      </w:r>
    </w:p>
    <w:p w14:paraId="78F6A191" w14:textId="77777777" w:rsidR="006D7F2C" w:rsidRPr="001D7589" w:rsidRDefault="006D7F2C" w:rsidP="006D7F2C">
      <w:pPr>
        <w:rPr>
          <w:rFonts w:ascii="楷体" w:eastAsia="楷体" w:hAnsi="楷体" w:hint="eastAsia"/>
          <w:sz w:val="21"/>
          <w:szCs w:val="21"/>
        </w:rPr>
      </w:pPr>
      <w:r w:rsidRPr="001D7589">
        <w:rPr>
          <w:rFonts w:ascii="楷体" w:eastAsia="楷体" w:hAnsi="楷体"/>
          <w:b/>
          <w:bCs/>
          <w:sz w:val="21"/>
          <w:szCs w:val="21"/>
        </w:rPr>
        <w:t>核心贡献:</w:t>
      </w:r>
      <w:r w:rsidRPr="001D7589">
        <w:rPr>
          <w:rFonts w:ascii="楷体" w:eastAsia="楷体" w:hAnsi="楷体"/>
          <w:sz w:val="21"/>
          <w:szCs w:val="21"/>
        </w:rPr>
        <w:t xml:space="preserve"> 研究开发了一套在数据稀缺环境下评估公共政策因果影响的通用框架。其核心创新在于改进了卷积神经网络（CNN）的损失函数，通过惩罚财富分布不同分位数的预测偏差，解决了机器学习预测中常见的“Berkson 型”测量误差（即对穷人预测过高、对富人预测过低），从而为下游的因果推断（如矩阵补全 MC 和弹性网络合成控制 SC-EN）提供了更可靠的生计衡量指标，成功量化了基础设施投资对贫困地区经济的长期拉动作用。</w:t>
      </w:r>
    </w:p>
    <w:p w14:paraId="28A11EC7" w14:textId="77777777" w:rsidR="006D7F2C" w:rsidRPr="001D7589" w:rsidRDefault="006D7F2C" w:rsidP="006D7F2C">
      <w:pPr>
        <w:rPr>
          <w:rFonts w:ascii="楷体" w:eastAsia="楷体" w:hAnsi="楷体" w:hint="eastAsia"/>
          <w:sz w:val="21"/>
          <w:szCs w:val="21"/>
        </w:rPr>
      </w:pPr>
      <w:r w:rsidRPr="001D7589">
        <w:rPr>
          <w:rFonts w:ascii="楷体" w:eastAsia="楷体" w:hAnsi="楷体"/>
          <w:b/>
          <w:bCs/>
          <w:sz w:val="21"/>
          <w:szCs w:val="21"/>
        </w:rPr>
        <w:t>具体指标:</w:t>
      </w:r>
      <w:r w:rsidRPr="001D7589">
        <w:rPr>
          <w:rFonts w:ascii="楷体" w:eastAsia="楷体" w:hAnsi="楷体"/>
          <w:sz w:val="21"/>
          <w:szCs w:val="21"/>
        </w:rPr>
        <w:t xml:space="preserve"> 研究主要使用决定系数（</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1D7589">
        <w:rPr>
          <w:rFonts w:ascii="楷体" w:eastAsia="楷体" w:hAnsi="楷体"/>
          <w:sz w:val="21"/>
          <w:szCs w:val="21"/>
        </w:rPr>
        <w:t>）衡量预测精度，并以标准差（Standard Deviation）衡量因果效应。CNN 模型在预测资产财富变异方面的</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1D7589">
        <w:rPr>
          <w:rFonts w:ascii="楷体" w:eastAsia="楷体" w:hAnsi="楷体"/>
          <w:sz w:val="21"/>
          <w:szCs w:val="21"/>
        </w:rPr>
        <w:t xml:space="preserve">达到 0.6 以上（最高 0.68），在乌干达样本中为 0.63。因果推断显示，电网接入使乌干达农村村庄的资产财富显著提高了 0.15 </w:t>
      </w:r>
      <w:proofErr w:type="gramStart"/>
      <w:r w:rsidRPr="001D7589">
        <w:rPr>
          <w:rFonts w:ascii="楷体" w:eastAsia="楷体" w:hAnsi="楷体"/>
          <w:sz w:val="21"/>
          <w:szCs w:val="21"/>
        </w:rPr>
        <w:t>个</w:t>
      </w:r>
      <w:proofErr w:type="gramEnd"/>
      <w:r w:rsidRPr="001D7589">
        <w:rPr>
          <w:rFonts w:ascii="楷体" w:eastAsia="楷体" w:hAnsi="楷体"/>
          <w:sz w:val="21"/>
          <w:szCs w:val="21"/>
        </w:rPr>
        <w:t xml:space="preserve">标准差，其财富增长率比未通电地区翻了一倍以上。具体而言，到 2016 年，通电社区的资产财富指数平均提高了 0.23 </w:t>
      </w:r>
      <w:proofErr w:type="gramStart"/>
      <w:r w:rsidRPr="001D7589">
        <w:rPr>
          <w:rFonts w:ascii="楷体" w:eastAsia="楷体" w:hAnsi="楷体"/>
          <w:sz w:val="21"/>
          <w:szCs w:val="21"/>
        </w:rPr>
        <w:t>个</w:t>
      </w:r>
      <w:proofErr w:type="gramEnd"/>
      <w:r w:rsidRPr="001D7589">
        <w:rPr>
          <w:rFonts w:ascii="楷体" w:eastAsia="楷体" w:hAnsi="楷体"/>
          <w:sz w:val="21"/>
          <w:szCs w:val="21"/>
        </w:rPr>
        <w:t>单位（95% 置信区间为 0.09-0.36）。</w:t>
      </w:r>
    </w:p>
    <w:p w14:paraId="13192C94" w14:textId="2F64F417" w:rsidR="006D7F2C" w:rsidRPr="006D7F2C" w:rsidRDefault="006D7F2C" w:rsidP="006D7F2C">
      <w:pPr>
        <w:rPr>
          <w:rFonts w:ascii="楷体" w:eastAsia="楷体" w:hAnsi="楷体" w:hint="eastAsia"/>
          <w:sz w:val="21"/>
          <w:szCs w:val="21"/>
        </w:rPr>
      </w:pPr>
      <w:r w:rsidRPr="001D7589">
        <w:rPr>
          <w:rFonts w:ascii="楷体" w:eastAsia="楷体" w:hAnsi="楷体"/>
          <w:b/>
          <w:bCs/>
          <w:sz w:val="21"/>
          <w:szCs w:val="21"/>
        </w:rPr>
        <w:t>研究局限:</w:t>
      </w:r>
      <w:r w:rsidRPr="001D7589">
        <w:rPr>
          <w:rFonts w:ascii="楷体" w:eastAsia="楷体" w:hAnsi="楷体"/>
          <w:sz w:val="21"/>
          <w:szCs w:val="21"/>
        </w:rPr>
        <w:t>为了减少偏差而采用的自定义损失函数导致模型整体预测精度（</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1D7589">
        <w:rPr>
          <w:rFonts w:ascii="楷体" w:eastAsia="楷体" w:hAnsi="楷体"/>
          <w:sz w:val="21"/>
          <w:szCs w:val="21"/>
        </w:rPr>
        <w:t>）略有下降；研究主要评估社区层面的电网覆盖影响，而非家庭个体的实际接入效果；此外，受限于数据维度，研究尚未能完全厘清电力改善生计的具体微观机制（如通过延长劳动时间还是提高生产力），且模型有效性部分依赖于日间图像无法直接识别电网设施的假设。</w:t>
      </w:r>
    </w:p>
    <w:p w14:paraId="47CFDA52" w14:textId="77777777" w:rsidR="006D7F2C" w:rsidRPr="006D7F2C" w:rsidRDefault="006D7F2C" w:rsidP="006D7F2C">
      <w:pPr>
        <w:rPr>
          <w:rFonts w:ascii="楷体" w:eastAsia="楷体" w:hAnsi="楷体" w:hint="eastAsia"/>
          <w:b/>
          <w:bCs/>
          <w:sz w:val="21"/>
          <w:szCs w:val="21"/>
        </w:rPr>
      </w:pPr>
      <w:r w:rsidRPr="006D7F2C">
        <w:rPr>
          <w:rFonts w:ascii="楷体" w:eastAsia="楷体" w:hAnsi="楷体"/>
          <w:b/>
          <w:bCs/>
          <w:sz w:val="21"/>
          <w:szCs w:val="21"/>
        </w:rPr>
        <w:br/>
      </w:r>
      <w:bookmarkStart w:id="3" w:name="OLE_LINK5"/>
      <w:r w:rsidRPr="006D7F2C">
        <w:rPr>
          <w:rFonts w:ascii="楷体" w:eastAsia="楷体" w:hAnsi="楷体"/>
          <w:b/>
          <w:bCs/>
          <w:sz w:val="21"/>
          <w:szCs w:val="21"/>
        </w:rPr>
        <w:t xml:space="preserve">【Science】【2023-01】Citizen scientists report global rapid reductions in the visibility of stars from 2011 to 2022 </w:t>
      </w:r>
      <w:bookmarkEnd w:id="3"/>
      <w:r w:rsidRPr="006D7F2C">
        <w:rPr>
          <w:rFonts w:ascii="楷体" w:eastAsia="楷体" w:hAnsi="楷体"/>
          <w:b/>
          <w:bCs/>
          <w:sz w:val="21"/>
          <w:szCs w:val="21"/>
        </w:rPr>
        <w:t>（公民科学家报告 2011 年至 2022 年全球恒星可见度迅速下降）</w:t>
      </w:r>
    </w:p>
    <w:p w14:paraId="0BF74A3E" w14:textId="77777777" w:rsidR="006D7F2C" w:rsidRPr="006D7F2C" w:rsidRDefault="006D7F2C" w:rsidP="006D7F2C">
      <w:pPr>
        <w:rPr>
          <w:rFonts w:ascii="楷体" w:eastAsia="楷体" w:hAnsi="楷体" w:hint="eastAsia"/>
          <w:sz w:val="21"/>
          <w:szCs w:val="21"/>
        </w:rPr>
      </w:pPr>
      <w:r w:rsidRPr="006D7F2C">
        <w:rPr>
          <w:rFonts w:ascii="楷体" w:eastAsia="楷体" w:hAnsi="楷体"/>
          <w:b/>
          <w:bCs/>
          <w:sz w:val="21"/>
          <w:szCs w:val="21"/>
        </w:rPr>
        <w:t>作者信息:</w:t>
      </w:r>
      <w:r w:rsidRPr="006D7F2C">
        <w:rPr>
          <w:rFonts w:ascii="Calibri" w:eastAsia="楷体" w:hAnsi="Calibri" w:cs="Calibri"/>
          <w:sz w:val="21"/>
          <w:szCs w:val="21"/>
        </w:rPr>
        <w:t> </w:t>
      </w:r>
      <w:r w:rsidRPr="006D7F2C">
        <w:rPr>
          <w:rFonts w:ascii="楷体" w:eastAsia="楷体" w:hAnsi="楷体"/>
          <w:sz w:val="21"/>
          <w:szCs w:val="21"/>
        </w:rPr>
        <w:t>本研究由德国地球科学研究中心（GFZ）的 Christopher C. M. Kyba 以及美国国家光学红外天文研究实验室（</w:t>
      </w:r>
      <w:proofErr w:type="spellStart"/>
      <w:r w:rsidRPr="006D7F2C">
        <w:rPr>
          <w:rFonts w:ascii="楷体" w:eastAsia="楷体" w:hAnsi="楷体"/>
          <w:sz w:val="21"/>
          <w:szCs w:val="21"/>
        </w:rPr>
        <w:t>NOIRLab</w:t>
      </w:r>
      <w:proofErr w:type="spellEnd"/>
      <w:r w:rsidRPr="006D7F2C">
        <w:rPr>
          <w:rFonts w:ascii="楷体" w:eastAsia="楷体" w:hAnsi="楷体"/>
          <w:sz w:val="21"/>
          <w:szCs w:val="21"/>
        </w:rPr>
        <w:t>）的 Constance E. Walker 等天文学与遥感专家共同完成。</w:t>
      </w:r>
    </w:p>
    <w:p w14:paraId="28E7E6D2" w14:textId="77777777" w:rsidR="006D7F2C" w:rsidRPr="006D7F2C" w:rsidRDefault="006D7F2C" w:rsidP="006D7F2C">
      <w:pPr>
        <w:rPr>
          <w:rFonts w:ascii="楷体" w:eastAsia="楷体" w:hAnsi="楷体" w:hint="eastAsia"/>
          <w:sz w:val="21"/>
          <w:szCs w:val="21"/>
        </w:rPr>
      </w:pPr>
      <w:r w:rsidRPr="006D7F2C">
        <w:rPr>
          <w:rFonts w:ascii="楷体" w:eastAsia="楷体" w:hAnsi="楷体"/>
          <w:b/>
          <w:bCs/>
          <w:sz w:val="21"/>
          <w:szCs w:val="21"/>
        </w:rPr>
        <w:t>数据来源:</w:t>
      </w:r>
      <w:r w:rsidRPr="006D7F2C">
        <w:rPr>
          <w:rFonts w:ascii="Calibri" w:eastAsia="楷体" w:hAnsi="Calibri" w:cs="Calibri"/>
          <w:sz w:val="21"/>
          <w:szCs w:val="21"/>
        </w:rPr>
        <w:t> </w:t>
      </w:r>
      <w:r w:rsidRPr="006D7F2C">
        <w:rPr>
          <w:rFonts w:ascii="楷体" w:eastAsia="楷体" w:hAnsi="楷体"/>
          <w:sz w:val="21"/>
          <w:szCs w:val="21"/>
        </w:rPr>
        <w:t>研究分析了 2011 年至 2022 年间由全球公民科学家通过“夜间世界”（Globe at Night）项目提供的 51,351 份肉眼恒星可见度观测报告。参与者通过对比不同亮度的星图，估算其所在位置的肉眼极限星等（NELM）。研究者将这些实测数据与基于卫星数据的《世界光污染图集》（World Atlas）亮度分级进行了时空匹配分析。</w:t>
      </w:r>
    </w:p>
    <w:p w14:paraId="638EC5E7" w14:textId="77777777" w:rsidR="006D7F2C" w:rsidRPr="006D7F2C" w:rsidRDefault="006D7F2C" w:rsidP="006D7F2C">
      <w:pPr>
        <w:rPr>
          <w:rFonts w:ascii="楷体" w:eastAsia="楷体" w:hAnsi="楷体" w:hint="eastAsia"/>
          <w:sz w:val="21"/>
          <w:szCs w:val="21"/>
        </w:rPr>
      </w:pPr>
      <w:r w:rsidRPr="006D7F2C">
        <w:rPr>
          <w:rFonts w:ascii="楷体" w:eastAsia="楷体" w:hAnsi="楷体"/>
          <w:b/>
          <w:bCs/>
          <w:sz w:val="21"/>
          <w:szCs w:val="21"/>
        </w:rPr>
        <w:t>核心贡献:</w:t>
      </w:r>
      <w:r w:rsidRPr="006D7F2C">
        <w:rPr>
          <w:rFonts w:ascii="Calibri" w:eastAsia="楷体" w:hAnsi="Calibri" w:cs="Calibri"/>
          <w:sz w:val="21"/>
          <w:szCs w:val="21"/>
        </w:rPr>
        <w:t> </w:t>
      </w:r>
      <w:r w:rsidRPr="006D7F2C">
        <w:rPr>
          <w:rFonts w:ascii="楷体" w:eastAsia="楷体" w:hAnsi="楷体"/>
          <w:sz w:val="21"/>
          <w:szCs w:val="21"/>
        </w:rPr>
        <w:t>核心贡献在于利用人类视觉系统作为“传感器”，揭示了全球夜空亮度增长速</w:t>
      </w:r>
      <w:r w:rsidRPr="006D7F2C">
        <w:rPr>
          <w:rFonts w:ascii="楷体" w:eastAsia="楷体" w:hAnsi="楷体"/>
          <w:sz w:val="21"/>
          <w:szCs w:val="21"/>
        </w:rPr>
        <w:lastRenderedPageBreak/>
        <w:t>度远超卫星监测数据的现状。由于现有卫星传感器（如 VIIRS）对波长小于 500 纳米的蓝光不敏感，且无法有效捕捉水平发射的光线，导致其严重低估了 LED 照明普及带来的光污染。本研究通过公民科学家的实地观测，证明了全球光污染正在经历光谱转型带来的剧烈增长，为评估光污染对生态、文化及人类健康的影响提供了更真实的地面证据。</w:t>
      </w:r>
    </w:p>
    <w:p w14:paraId="774B10EC" w14:textId="77777777" w:rsidR="006D7F2C" w:rsidRPr="006D7F2C" w:rsidRDefault="006D7F2C" w:rsidP="006D7F2C">
      <w:pPr>
        <w:rPr>
          <w:rFonts w:ascii="楷体" w:eastAsia="楷体" w:hAnsi="楷体" w:hint="eastAsia"/>
          <w:sz w:val="21"/>
          <w:szCs w:val="21"/>
        </w:rPr>
      </w:pPr>
      <w:r w:rsidRPr="006D7F2C">
        <w:rPr>
          <w:rFonts w:ascii="楷体" w:eastAsia="楷体" w:hAnsi="楷体"/>
          <w:b/>
          <w:bCs/>
          <w:sz w:val="21"/>
          <w:szCs w:val="21"/>
        </w:rPr>
        <w:t>具体指标:</w:t>
      </w:r>
      <w:r w:rsidRPr="006D7F2C">
        <w:rPr>
          <w:rFonts w:ascii="Calibri" w:eastAsia="楷体" w:hAnsi="Calibri" w:cs="Calibri"/>
          <w:sz w:val="21"/>
          <w:szCs w:val="21"/>
        </w:rPr>
        <w:t> </w:t>
      </w:r>
      <w:r w:rsidRPr="006D7F2C">
        <w:rPr>
          <w:rFonts w:ascii="楷体" w:eastAsia="楷体" w:hAnsi="楷体"/>
          <w:sz w:val="21"/>
          <w:szCs w:val="21"/>
        </w:rPr>
        <w:t>研究发现，全球夜空亮度平均每年增长 9.6%（±0.4%），这意味着夜空亮度每 8 年就会翻一倍。在不同区域，北美地区的年增长率最高，达到 10.4%（±0.5%），欧洲为 6.5%（±1.0%），世界其他地区平均为 7.7%（±0.7%）。这种增长速度远高于卫星观测到的约 2% 的年增长率，表明在人类视觉感知的波段内，恒星的可见度正在以惊人的速度消失。</w:t>
      </w:r>
    </w:p>
    <w:p w14:paraId="15D51E0E" w14:textId="77777777" w:rsidR="006D7F2C" w:rsidRDefault="006D7F2C" w:rsidP="006D7F2C">
      <w:pPr>
        <w:rPr>
          <w:rFonts w:ascii="楷体" w:eastAsia="楷体" w:hAnsi="楷体" w:hint="eastAsia"/>
          <w:sz w:val="21"/>
          <w:szCs w:val="21"/>
        </w:rPr>
      </w:pPr>
      <w:r w:rsidRPr="006D7F2C">
        <w:rPr>
          <w:rFonts w:ascii="楷体" w:eastAsia="楷体" w:hAnsi="楷体"/>
          <w:b/>
          <w:bCs/>
          <w:sz w:val="21"/>
          <w:szCs w:val="21"/>
        </w:rPr>
        <w:t>研究局限:</w:t>
      </w:r>
      <w:r w:rsidRPr="006D7F2C">
        <w:rPr>
          <w:rFonts w:ascii="Calibri" w:eastAsia="楷体" w:hAnsi="Calibri" w:cs="Calibri"/>
          <w:sz w:val="21"/>
          <w:szCs w:val="21"/>
        </w:rPr>
        <w:t> </w:t>
      </w:r>
      <w:r w:rsidRPr="006D7F2C">
        <w:rPr>
          <w:rFonts w:ascii="楷体" w:eastAsia="楷体" w:hAnsi="楷体"/>
          <w:sz w:val="21"/>
          <w:szCs w:val="21"/>
        </w:rPr>
        <w:t>观测数据存在显著的地理偏差，超过 80% 的样本来自欧洲和北美，导致对发展中国家和偏远地区的代表性不足；此外，肉眼观测 NELM 的准确性受参与者视力差异、观测时的生理状态以及局部环境（如建筑物遮挡）的影响；研究还指出，由于参与者多集中在已开发地区，该结果可能仍低估了经济快速增长地区（光污染增长最快处）的实际恶化程度。</w:t>
      </w:r>
    </w:p>
    <w:p w14:paraId="7D97E31A" w14:textId="77777777" w:rsidR="006D7F2C" w:rsidRPr="006D7F2C" w:rsidRDefault="006D7F2C" w:rsidP="006D7F2C">
      <w:pPr>
        <w:rPr>
          <w:rFonts w:ascii="楷体" w:eastAsia="楷体" w:hAnsi="楷体" w:hint="eastAsia"/>
          <w:sz w:val="21"/>
          <w:szCs w:val="21"/>
        </w:rPr>
      </w:pPr>
    </w:p>
    <w:p w14:paraId="7F56F265" w14:textId="77777777" w:rsidR="007F377C" w:rsidRPr="007F377C" w:rsidRDefault="007F377C" w:rsidP="007F377C">
      <w:pPr>
        <w:rPr>
          <w:rFonts w:ascii="楷体" w:eastAsia="楷体" w:hAnsi="楷体" w:hint="eastAsia"/>
          <w:b/>
          <w:bCs/>
          <w:sz w:val="21"/>
          <w:szCs w:val="21"/>
        </w:rPr>
      </w:pPr>
      <w:r w:rsidRPr="007F377C">
        <w:rPr>
          <w:rFonts w:ascii="楷体" w:eastAsia="楷体" w:hAnsi="楷体"/>
          <w:b/>
          <w:bCs/>
          <w:sz w:val="21"/>
          <w:szCs w:val="21"/>
        </w:rPr>
        <w:t xml:space="preserve">【Science】【2016-08】Combining satellite imagery and machine learning to predict poverty </w:t>
      </w:r>
      <w:bookmarkEnd w:id="1"/>
      <w:r w:rsidRPr="007F377C">
        <w:rPr>
          <w:rFonts w:ascii="楷体" w:eastAsia="楷体" w:hAnsi="楷体"/>
          <w:b/>
          <w:bCs/>
          <w:sz w:val="21"/>
          <w:szCs w:val="21"/>
        </w:rPr>
        <w:t>（结合卫星图像和机器学习预测贫困）</w:t>
      </w:r>
    </w:p>
    <w:p w14:paraId="459DFA9C" w14:textId="77777777" w:rsidR="007F377C" w:rsidRPr="007F377C" w:rsidRDefault="007F377C" w:rsidP="007F377C">
      <w:pPr>
        <w:rPr>
          <w:rFonts w:ascii="楷体" w:eastAsia="楷体" w:hAnsi="楷体" w:hint="eastAsia"/>
          <w:sz w:val="21"/>
          <w:szCs w:val="21"/>
        </w:rPr>
      </w:pPr>
      <w:r w:rsidRPr="007F377C">
        <w:rPr>
          <w:rFonts w:ascii="楷体" w:eastAsia="楷体" w:hAnsi="楷体"/>
          <w:b/>
          <w:bCs/>
          <w:sz w:val="21"/>
          <w:szCs w:val="21"/>
        </w:rPr>
        <w:t>作者信息:</w:t>
      </w:r>
      <w:r w:rsidRPr="007F377C">
        <w:rPr>
          <w:rFonts w:ascii="Calibri" w:eastAsia="楷体" w:hAnsi="Calibri" w:cs="Calibri"/>
          <w:sz w:val="21"/>
          <w:szCs w:val="21"/>
        </w:rPr>
        <w:t> </w:t>
      </w:r>
      <w:r w:rsidRPr="007F377C">
        <w:rPr>
          <w:rFonts w:ascii="楷体" w:eastAsia="楷体" w:hAnsi="楷体"/>
          <w:sz w:val="21"/>
          <w:szCs w:val="21"/>
        </w:rPr>
        <w:t>本研究由斯坦福大学计算机科学系、地球系统科学系及经济学领域的 Neal Jean、Marshall Burke 等多学科专家共同完成。</w:t>
      </w:r>
    </w:p>
    <w:p w14:paraId="58A41E7E" w14:textId="77777777" w:rsidR="007F377C" w:rsidRPr="007F377C" w:rsidRDefault="007F377C" w:rsidP="007F377C">
      <w:pPr>
        <w:rPr>
          <w:rFonts w:ascii="楷体" w:eastAsia="楷体" w:hAnsi="楷体" w:hint="eastAsia"/>
          <w:sz w:val="21"/>
          <w:szCs w:val="21"/>
        </w:rPr>
      </w:pPr>
      <w:r w:rsidRPr="007F377C">
        <w:rPr>
          <w:rFonts w:ascii="楷体" w:eastAsia="楷体" w:hAnsi="楷体"/>
          <w:b/>
          <w:bCs/>
          <w:sz w:val="21"/>
          <w:szCs w:val="21"/>
        </w:rPr>
        <w:t>数据来源:</w:t>
      </w:r>
      <w:r w:rsidRPr="007F377C">
        <w:rPr>
          <w:rFonts w:ascii="Calibri" w:eastAsia="楷体" w:hAnsi="Calibri" w:cs="Calibri"/>
          <w:sz w:val="21"/>
          <w:szCs w:val="21"/>
        </w:rPr>
        <w:t> </w:t>
      </w:r>
      <w:r w:rsidRPr="007F377C">
        <w:rPr>
          <w:rFonts w:ascii="楷体" w:eastAsia="楷体" w:hAnsi="楷体"/>
          <w:sz w:val="21"/>
          <w:szCs w:val="21"/>
        </w:rPr>
        <w:t>研究整合了来自 Google Static Maps API 的高分辨率日间卫星图像和 DMSP-OLS 的夜间灯光数据，并结合了尼日利亚、坦桑尼亚、乌干达、马拉维和卢旺达五个非洲国家的实地调查数据，包括世界银行的“生活水平测量研究”（LSMS）消费支出数据和“人口与健康调查”（DHS）的家庭资产数据。</w:t>
      </w:r>
    </w:p>
    <w:p w14:paraId="2B32B03A" w14:textId="77777777" w:rsidR="007F377C" w:rsidRPr="007F377C" w:rsidRDefault="007F377C" w:rsidP="007F377C">
      <w:pPr>
        <w:rPr>
          <w:rFonts w:ascii="楷体" w:eastAsia="楷体" w:hAnsi="楷体" w:hint="eastAsia"/>
          <w:sz w:val="21"/>
          <w:szCs w:val="21"/>
        </w:rPr>
      </w:pPr>
      <w:r w:rsidRPr="007F377C">
        <w:rPr>
          <w:rFonts w:ascii="楷体" w:eastAsia="楷体" w:hAnsi="楷体"/>
          <w:b/>
          <w:bCs/>
          <w:sz w:val="21"/>
          <w:szCs w:val="21"/>
        </w:rPr>
        <w:t>核心贡献:</w:t>
      </w:r>
      <w:r w:rsidRPr="007F377C">
        <w:rPr>
          <w:rFonts w:ascii="Calibri" w:eastAsia="楷体" w:hAnsi="Calibri" w:cs="Calibri"/>
          <w:sz w:val="21"/>
          <w:szCs w:val="21"/>
        </w:rPr>
        <w:t> </w:t>
      </w:r>
      <w:r w:rsidRPr="007F377C">
        <w:rPr>
          <w:rFonts w:ascii="楷体" w:eastAsia="楷体" w:hAnsi="楷体"/>
          <w:sz w:val="21"/>
          <w:szCs w:val="21"/>
        </w:rPr>
        <w:t xml:space="preserve">核心贡献在于开发了一种多步迁移学习方法，解决了贫困地区标注数据稀缺的难题。该方法首先利用在 ImageNet </w:t>
      </w:r>
      <w:proofErr w:type="gramStart"/>
      <w:r w:rsidRPr="007F377C">
        <w:rPr>
          <w:rFonts w:ascii="楷体" w:eastAsia="楷体" w:hAnsi="楷体"/>
          <w:sz w:val="21"/>
          <w:szCs w:val="21"/>
        </w:rPr>
        <w:t>上预训练</w:t>
      </w:r>
      <w:proofErr w:type="gramEnd"/>
      <w:r w:rsidRPr="007F377C">
        <w:rPr>
          <w:rFonts w:ascii="楷体" w:eastAsia="楷体" w:hAnsi="楷体"/>
          <w:sz w:val="21"/>
          <w:szCs w:val="21"/>
        </w:rPr>
        <w:t>的卷积神经网络（CNN），通过预测夜间灯光强度（作为贫困的嘈杂代理指标）来微调模型，使其能够从日间卫星图像中自动识别出与经济活动相关的景观特征（如道路、建筑、水体、农田等），从而实现对局部经济状况的低成本、高精度预测。</w:t>
      </w:r>
    </w:p>
    <w:p w14:paraId="7FA0B6E8" w14:textId="4573EC68" w:rsidR="007F377C" w:rsidRPr="007F377C" w:rsidRDefault="007F377C" w:rsidP="007F377C">
      <w:pPr>
        <w:rPr>
          <w:rFonts w:ascii="楷体" w:eastAsia="楷体" w:hAnsi="楷体" w:hint="eastAsia"/>
          <w:sz w:val="21"/>
          <w:szCs w:val="21"/>
        </w:rPr>
      </w:pPr>
      <w:r w:rsidRPr="007F377C">
        <w:rPr>
          <w:rFonts w:ascii="楷体" w:eastAsia="楷体" w:hAnsi="楷体"/>
          <w:b/>
          <w:bCs/>
          <w:sz w:val="21"/>
          <w:szCs w:val="21"/>
        </w:rPr>
        <w:t>具体指标:</w:t>
      </w:r>
      <w:r w:rsidRPr="007F377C">
        <w:rPr>
          <w:rFonts w:ascii="Calibri" w:eastAsia="楷体" w:hAnsi="Calibri" w:cs="Calibri"/>
          <w:sz w:val="21"/>
          <w:szCs w:val="21"/>
        </w:rPr>
        <w:t> </w:t>
      </w:r>
      <w:r w:rsidRPr="007F377C">
        <w:rPr>
          <w:rFonts w:ascii="楷体" w:eastAsia="楷体" w:hAnsi="楷体"/>
          <w:sz w:val="21"/>
          <w:szCs w:val="21"/>
        </w:rPr>
        <w:t>研究主要采用决定系数（</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7F377C">
        <w:rPr>
          <w:rFonts w:ascii="楷体" w:eastAsia="楷体" w:hAnsi="楷体"/>
          <w:sz w:val="21"/>
          <w:szCs w:val="21"/>
        </w:rPr>
        <w:t>）来衡量模型对经济变异的解释力。结果显示，该模型对家庭消费支出变异的解释力（</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7F377C">
        <w:rPr>
          <w:rFonts w:ascii="楷体" w:eastAsia="楷体" w:hAnsi="楷体"/>
          <w:sz w:val="21"/>
          <w:szCs w:val="21"/>
        </w:rPr>
        <w:t>）在 0.37 至 0.55 之间，对资产财富变异的解释力更高，达到 0.55 至 0.75。在极度贫困地区（低于两倍国际贫困线），该模型比单纯使用夜间灯光数据的解释力提升了 81.2%（</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7F377C">
        <w:rPr>
          <w:rFonts w:ascii="Calibri" w:eastAsia="楷体" w:hAnsi="Calibri" w:cs="Calibri"/>
          <w:sz w:val="21"/>
          <w:szCs w:val="21"/>
        </w:rPr>
        <w:t> </w:t>
      </w:r>
      <w:r w:rsidRPr="007F377C">
        <w:rPr>
          <w:rFonts w:ascii="楷体" w:eastAsia="楷体" w:hAnsi="楷体"/>
          <w:sz w:val="21"/>
          <w:szCs w:val="21"/>
        </w:rPr>
        <w:t>平均增加 0.10）。此外，在卢旺达的案例中，该模型 0.75 的</w:t>
      </w:r>
      <w:r w:rsidRPr="007F377C">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7F377C">
        <w:rPr>
          <w:rFonts w:ascii="Calibri" w:eastAsia="楷体" w:hAnsi="Calibri" w:cs="Calibri"/>
          <w:sz w:val="21"/>
          <w:szCs w:val="21"/>
        </w:rPr>
        <w:t> </w:t>
      </w:r>
      <w:proofErr w:type="gramStart"/>
      <w:r w:rsidRPr="007F377C">
        <w:rPr>
          <w:rFonts w:ascii="楷体" w:eastAsia="楷体" w:hAnsi="楷体"/>
          <w:sz w:val="21"/>
          <w:szCs w:val="21"/>
        </w:rPr>
        <w:t>值显著</w:t>
      </w:r>
      <w:proofErr w:type="gramEnd"/>
      <w:r w:rsidRPr="007F377C">
        <w:rPr>
          <w:rFonts w:ascii="楷体" w:eastAsia="楷体" w:hAnsi="楷体"/>
          <w:sz w:val="21"/>
          <w:szCs w:val="21"/>
        </w:rPr>
        <w:t>优于此前利用手机数据预测的研究结果（</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r>
          <w:rPr>
            <w:rFonts w:ascii="Cambria Math" w:eastAsia="楷体" w:hAnsi="Cambria Math"/>
            <w:sz w:val="21"/>
            <w:szCs w:val="21"/>
          </w:rPr>
          <m:t>=0.62</m:t>
        </m:r>
      </m:oMath>
      <w:r w:rsidRPr="007F377C">
        <w:rPr>
          <w:rFonts w:ascii="楷体" w:eastAsia="楷体" w:hAnsi="楷体"/>
          <w:sz w:val="21"/>
          <w:szCs w:val="21"/>
        </w:rPr>
        <w:t>），证明了其利用公开数据实现高精度监测的优越性。</w:t>
      </w:r>
    </w:p>
    <w:p w14:paraId="5395DB37" w14:textId="77777777" w:rsidR="007F377C" w:rsidRPr="007F377C" w:rsidRDefault="007F377C" w:rsidP="007F377C">
      <w:pPr>
        <w:rPr>
          <w:rFonts w:ascii="楷体" w:eastAsia="楷体" w:hAnsi="楷体" w:hint="eastAsia"/>
          <w:sz w:val="21"/>
          <w:szCs w:val="21"/>
        </w:rPr>
      </w:pPr>
      <w:r w:rsidRPr="007F377C">
        <w:rPr>
          <w:rFonts w:ascii="楷体" w:eastAsia="楷体" w:hAnsi="楷体"/>
          <w:b/>
          <w:bCs/>
          <w:sz w:val="21"/>
          <w:szCs w:val="21"/>
        </w:rPr>
        <w:lastRenderedPageBreak/>
        <w:t>研究局限:</w:t>
      </w:r>
      <w:r w:rsidRPr="007F377C">
        <w:rPr>
          <w:rFonts w:ascii="Calibri" w:eastAsia="楷体" w:hAnsi="Calibri" w:cs="Calibri"/>
          <w:sz w:val="21"/>
          <w:szCs w:val="21"/>
        </w:rPr>
        <w:t> </w:t>
      </w:r>
      <w:r w:rsidRPr="007F377C">
        <w:rPr>
          <w:rFonts w:ascii="楷体" w:eastAsia="楷体" w:hAnsi="楷体"/>
          <w:sz w:val="21"/>
          <w:szCs w:val="21"/>
        </w:rPr>
        <w:t>研究局限包括：受限于调查数据的隐私保护机制（坐标添加了最高 10km 的随机噪声），目前无法识别集群内部的差异；由于缺乏卫星图像的精确拍摄日期，尚未能评估该方法预测经济状况随时间动态变化的能力；此外，模型在不同国家间的迁移效果虽好，但仍略逊于针对特定国家训练的模型。</w:t>
      </w:r>
    </w:p>
    <w:p w14:paraId="68E77349" w14:textId="77777777" w:rsidR="007D1F6D" w:rsidRDefault="007D1F6D">
      <w:pPr>
        <w:rPr>
          <w:rFonts w:ascii="楷体" w:eastAsia="楷体" w:hAnsi="楷体" w:hint="eastAsia"/>
          <w:sz w:val="21"/>
          <w:szCs w:val="21"/>
        </w:rPr>
      </w:pPr>
    </w:p>
    <w:p w14:paraId="23E63379" w14:textId="77777777" w:rsidR="001D7589" w:rsidRPr="001D7589" w:rsidRDefault="001D7589" w:rsidP="001D7589">
      <w:pPr>
        <w:rPr>
          <w:rFonts w:ascii="楷体" w:eastAsia="楷体" w:hAnsi="楷体" w:hint="eastAsia"/>
          <w:b/>
          <w:bCs/>
          <w:sz w:val="21"/>
          <w:szCs w:val="21"/>
        </w:rPr>
      </w:pPr>
      <w:bookmarkStart w:id="4" w:name="OLE_LINK2"/>
      <w:r w:rsidRPr="001D7589">
        <w:rPr>
          <w:rFonts w:ascii="楷体" w:eastAsia="楷体" w:hAnsi="楷体"/>
          <w:b/>
          <w:bCs/>
          <w:sz w:val="21"/>
          <w:szCs w:val="21"/>
        </w:rPr>
        <w:t xml:space="preserve">【Science】【2011-12】Explaining Seasonal Fluctuations of Measles in Niger Using Nighttime Lights Imagery </w:t>
      </w:r>
      <w:bookmarkEnd w:id="4"/>
      <w:r w:rsidRPr="001D7589">
        <w:rPr>
          <w:rFonts w:ascii="楷体" w:eastAsia="楷体" w:hAnsi="楷体"/>
          <w:b/>
          <w:bCs/>
          <w:sz w:val="21"/>
          <w:szCs w:val="21"/>
        </w:rPr>
        <w:t>（利用夜间灯光图像解释尼日尔麻疹的季节性波动）</w:t>
      </w:r>
    </w:p>
    <w:p w14:paraId="515164D3" w14:textId="77777777" w:rsidR="001D7589" w:rsidRPr="001D7589" w:rsidRDefault="001D7589" w:rsidP="001D7589">
      <w:pPr>
        <w:rPr>
          <w:rFonts w:ascii="楷体" w:eastAsia="楷体" w:hAnsi="楷体" w:hint="eastAsia"/>
          <w:sz w:val="21"/>
          <w:szCs w:val="21"/>
        </w:rPr>
      </w:pPr>
      <w:r w:rsidRPr="001D7589">
        <w:rPr>
          <w:rFonts w:ascii="楷体" w:eastAsia="楷体" w:hAnsi="楷体"/>
          <w:b/>
          <w:bCs/>
          <w:sz w:val="21"/>
          <w:szCs w:val="21"/>
        </w:rPr>
        <w:t>作者信息:</w:t>
      </w:r>
      <w:r w:rsidRPr="001D7589">
        <w:rPr>
          <w:rFonts w:ascii="Calibri" w:eastAsia="楷体" w:hAnsi="Calibri" w:cs="Calibri"/>
          <w:sz w:val="21"/>
          <w:szCs w:val="21"/>
        </w:rPr>
        <w:t> </w:t>
      </w:r>
      <w:r w:rsidRPr="001D7589">
        <w:rPr>
          <w:rFonts w:ascii="楷体" w:eastAsia="楷体" w:hAnsi="楷体"/>
          <w:sz w:val="21"/>
          <w:szCs w:val="21"/>
        </w:rPr>
        <w:t>本研究由普林斯顿大学、佛罗里达大学、宾夕法尼亚州立大学及尼日尔卫生部等机构的 N. Bharti、A. J. Tatem、B. T. Grenfell 等流行病学与地理学专家合作完成。</w:t>
      </w:r>
    </w:p>
    <w:p w14:paraId="3A95D183" w14:textId="77777777" w:rsidR="001D7589" w:rsidRPr="001D7589" w:rsidRDefault="001D7589" w:rsidP="001D7589">
      <w:pPr>
        <w:rPr>
          <w:rFonts w:ascii="楷体" w:eastAsia="楷体" w:hAnsi="楷体" w:hint="eastAsia"/>
          <w:sz w:val="21"/>
          <w:szCs w:val="21"/>
        </w:rPr>
      </w:pPr>
      <w:r w:rsidRPr="001D7589">
        <w:rPr>
          <w:rFonts w:ascii="楷体" w:eastAsia="楷体" w:hAnsi="楷体"/>
          <w:b/>
          <w:bCs/>
          <w:sz w:val="21"/>
          <w:szCs w:val="21"/>
        </w:rPr>
        <w:t>数据来源:</w:t>
      </w:r>
      <w:r w:rsidRPr="001D7589">
        <w:rPr>
          <w:rFonts w:ascii="Calibri" w:eastAsia="楷体" w:hAnsi="Calibri" w:cs="Calibri"/>
          <w:sz w:val="21"/>
          <w:szCs w:val="21"/>
        </w:rPr>
        <w:t> </w:t>
      </w:r>
      <w:r w:rsidRPr="001D7589">
        <w:rPr>
          <w:rFonts w:ascii="楷体" w:eastAsia="楷体" w:hAnsi="楷体"/>
          <w:sz w:val="21"/>
          <w:szCs w:val="21"/>
        </w:rPr>
        <w:t>研究整合了 2000 年至 2004 年间由 DMSP-OLS 卫星拍摄的 155 幅无云夜间灯光图像，用以提取城市亮度的数字量化值；同时结合了 1995 年至 2004 年尼日尔三个主要城市（尼亚美、马拉迪、津德尔）的每周麻疹病例官方报告数据，以及当地的季节性降雨量数据。</w:t>
      </w:r>
    </w:p>
    <w:p w14:paraId="209366C8" w14:textId="77777777" w:rsidR="001D7589" w:rsidRPr="001D7589" w:rsidRDefault="001D7589" w:rsidP="001D7589">
      <w:pPr>
        <w:rPr>
          <w:rFonts w:ascii="楷体" w:eastAsia="楷体" w:hAnsi="楷体" w:hint="eastAsia"/>
          <w:sz w:val="21"/>
          <w:szCs w:val="21"/>
        </w:rPr>
      </w:pPr>
      <w:r w:rsidRPr="001D7589">
        <w:rPr>
          <w:rFonts w:ascii="楷体" w:eastAsia="楷体" w:hAnsi="楷体"/>
          <w:b/>
          <w:bCs/>
          <w:sz w:val="21"/>
          <w:szCs w:val="21"/>
        </w:rPr>
        <w:t>核心贡献:</w:t>
      </w:r>
      <w:r w:rsidRPr="001D7589">
        <w:rPr>
          <w:rFonts w:ascii="Calibri" w:eastAsia="楷体" w:hAnsi="Calibri" w:cs="Calibri"/>
          <w:sz w:val="21"/>
          <w:szCs w:val="21"/>
        </w:rPr>
        <w:t> </w:t>
      </w:r>
      <w:r w:rsidRPr="001D7589">
        <w:rPr>
          <w:rFonts w:ascii="楷体" w:eastAsia="楷体" w:hAnsi="楷体"/>
          <w:sz w:val="21"/>
          <w:szCs w:val="21"/>
        </w:rPr>
        <w:t>研究揭示了人口密度的季节性波动是驱动西非麻疹疫情爆发的关键因素，并创新性地利用夜间灯光亮度作为衡量人口动态迁移的代理指标。研究发现，尼日尔农业人口在旱季向城市聚集，导致城市人口密度激增，进而加速病毒传播。通过将这一动态人口指标引入 SEIR（易感-暴露-感染-康复）流行病模型，研究者成功解释并预测了麻疹病例的季节性消长，为在资源匮乏地区优化疫苗接种策略和公共卫生干预提供了新工具。</w:t>
      </w:r>
    </w:p>
    <w:p w14:paraId="51DAD87A" w14:textId="77777777" w:rsidR="001D7589" w:rsidRPr="001D7589" w:rsidRDefault="001D7589" w:rsidP="001D7589">
      <w:pPr>
        <w:rPr>
          <w:rFonts w:ascii="楷体" w:eastAsia="楷体" w:hAnsi="楷体" w:hint="eastAsia"/>
          <w:sz w:val="21"/>
          <w:szCs w:val="21"/>
        </w:rPr>
      </w:pPr>
      <w:r w:rsidRPr="001D7589">
        <w:rPr>
          <w:rFonts w:ascii="楷体" w:eastAsia="楷体" w:hAnsi="楷体"/>
          <w:b/>
          <w:bCs/>
          <w:sz w:val="21"/>
          <w:szCs w:val="21"/>
        </w:rPr>
        <w:t>具体指标:</w:t>
      </w:r>
      <w:r w:rsidRPr="001D7589">
        <w:rPr>
          <w:rFonts w:ascii="Calibri" w:eastAsia="楷体" w:hAnsi="Calibri" w:cs="Calibri"/>
          <w:sz w:val="21"/>
          <w:szCs w:val="21"/>
        </w:rPr>
        <w:t> </w:t>
      </w:r>
      <w:r w:rsidRPr="001D7589">
        <w:rPr>
          <w:rFonts w:ascii="楷体" w:eastAsia="楷体" w:hAnsi="楷体"/>
          <w:sz w:val="21"/>
          <w:szCs w:val="21"/>
        </w:rPr>
        <w:t>研究主要采用皮尔逊相关系数（Pearson correlation）来衡量麻疹传播率与灯光亮度之间的关联。结果显示，尼亚美（Niamey）和马拉迪（Maradi）的相关系数均高达 0.88，津德尔（Zinder）为 0.78（所有城市 P &lt; 0.01）。在空间尺度上，尼亚美灯光亮度最高的两个行政区贡献了全市 90% 以上的病例。模型模拟表明，基于夜间灯光信息的动态人口模型在拟合疫情爆发的时间点和规模上显著优于传统的静态人口模型。</w:t>
      </w:r>
    </w:p>
    <w:p w14:paraId="53AFA7A5" w14:textId="77777777" w:rsidR="001D7589" w:rsidRPr="001D7589" w:rsidRDefault="001D7589" w:rsidP="001D7589">
      <w:pPr>
        <w:rPr>
          <w:rFonts w:ascii="楷体" w:eastAsia="楷体" w:hAnsi="楷体" w:hint="eastAsia"/>
          <w:sz w:val="21"/>
          <w:szCs w:val="21"/>
        </w:rPr>
      </w:pPr>
      <w:r w:rsidRPr="001D7589">
        <w:rPr>
          <w:rFonts w:ascii="楷体" w:eastAsia="楷体" w:hAnsi="楷体"/>
          <w:b/>
          <w:bCs/>
          <w:sz w:val="21"/>
          <w:szCs w:val="21"/>
        </w:rPr>
        <w:t>研究局限:</w:t>
      </w:r>
      <w:r w:rsidRPr="001D7589">
        <w:rPr>
          <w:rFonts w:ascii="Calibri" w:eastAsia="楷体" w:hAnsi="Calibri" w:cs="Calibri"/>
          <w:sz w:val="21"/>
          <w:szCs w:val="21"/>
        </w:rPr>
        <w:t> </w:t>
      </w:r>
      <w:r w:rsidRPr="001D7589">
        <w:rPr>
          <w:rFonts w:ascii="楷体" w:eastAsia="楷体" w:hAnsi="楷体"/>
          <w:sz w:val="21"/>
          <w:szCs w:val="21"/>
        </w:rPr>
        <w:t>灯光亮度与人口密度之间的定量关系受环境（如云层、月光干扰）和经济因素（如电力基础设施）影响，在不同地理位置可能存在差异；此外，卫星图像的可用性受天气条件限制，且该方法目前主要聚焦于人口流动特征明显的城市区域，对农村地区细微人口变化的捕捉能力尚待进一步验证。</w:t>
      </w:r>
    </w:p>
    <w:p w14:paraId="303A745B" w14:textId="77777777" w:rsidR="007962F5" w:rsidRPr="007962F5" w:rsidRDefault="007962F5" w:rsidP="007962F5">
      <w:pPr>
        <w:rPr>
          <w:rFonts w:ascii="楷体" w:eastAsia="楷体" w:hAnsi="楷体" w:hint="eastAsia"/>
          <w:b/>
          <w:bCs/>
          <w:sz w:val="21"/>
          <w:szCs w:val="21"/>
        </w:rPr>
      </w:pPr>
      <w:r w:rsidRPr="007962F5">
        <w:rPr>
          <w:rFonts w:ascii="楷体" w:eastAsia="楷体" w:hAnsi="楷体"/>
          <w:b/>
          <w:bCs/>
          <w:sz w:val="21"/>
          <w:szCs w:val="21"/>
        </w:rPr>
        <w:br/>
        <w:t>【Science】【2018-05】One-third of global protected land is under intense human pressure （全球三分之一的保护地承受着巨大的人类压力）</w:t>
      </w:r>
    </w:p>
    <w:p w14:paraId="4D8E85A0" w14:textId="77777777" w:rsidR="007962F5" w:rsidRPr="007962F5" w:rsidRDefault="007962F5" w:rsidP="007962F5">
      <w:pPr>
        <w:rPr>
          <w:rFonts w:ascii="楷体" w:eastAsia="楷体" w:hAnsi="楷体" w:hint="eastAsia"/>
          <w:sz w:val="21"/>
          <w:szCs w:val="21"/>
        </w:rPr>
      </w:pPr>
      <w:r w:rsidRPr="007962F5">
        <w:rPr>
          <w:rFonts w:ascii="楷体" w:eastAsia="楷体" w:hAnsi="楷体"/>
          <w:b/>
          <w:bCs/>
          <w:sz w:val="21"/>
          <w:szCs w:val="21"/>
        </w:rPr>
        <w:t>作者信息:</w:t>
      </w:r>
      <w:r w:rsidRPr="007962F5">
        <w:rPr>
          <w:rFonts w:ascii="Calibri" w:eastAsia="楷体" w:hAnsi="Calibri" w:cs="Calibri"/>
          <w:sz w:val="21"/>
          <w:szCs w:val="21"/>
        </w:rPr>
        <w:t> </w:t>
      </w:r>
      <w:r w:rsidRPr="007962F5">
        <w:rPr>
          <w:rFonts w:ascii="楷体" w:eastAsia="楷体" w:hAnsi="楷体"/>
          <w:sz w:val="21"/>
          <w:szCs w:val="21"/>
        </w:rPr>
        <w:t>本研究由昆士兰大学、北不列颠哥伦比亚大学及国际野生生物保护学会（WCS）的 Kendall R. Jones、James E. M. Watson 等生物多样性保护专家共同完成。</w:t>
      </w:r>
    </w:p>
    <w:p w14:paraId="6FA9184C" w14:textId="77777777" w:rsidR="007962F5" w:rsidRPr="007962F5" w:rsidRDefault="007962F5" w:rsidP="007962F5">
      <w:pPr>
        <w:rPr>
          <w:rFonts w:ascii="楷体" w:eastAsia="楷体" w:hAnsi="楷体" w:hint="eastAsia"/>
          <w:sz w:val="21"/>
          <w:szCs w:val="21"/>
        </w:rPr>
      </w:pPr>
      <w:r w:rsidRPr="007962F5">
        <w:rPr>
          <w:rFonts w:ascii="楷体" w:eastAsia="楷体" w:hAnsi="楷体"/>
          <w:b/>
          <w:bCs/>
          <w:sz w:val="21"/>
          <w:szCs w:val="21"/>
        </w:rPr>
        <w:t>数据来源:</w:t>
      </w:r>
      <w:r w:rsidRPr="007962F5">
        <w:rPr>
          <w:rFonts w:ascii="Calibri" w:eastAsia="楷体" w:hAnsi="Calibri" w:cs="Calibri"/>
          <w:sz w:val="21"/>
          <w:szCs w:val="21"/>
        </w:rPr>
        <w:t> </w:t>
      </w:r>
      <w:r w:rsidRPr="007962F5">
        <w:rPr>
          <w:rFonts w:ascii="楷体" w:eastAsia="楷体" w:hAnsi="楷体"/>
          <w:sz w:val="21"/>
          <w:szCs w:val="21"/>
        </w:rPr>
        <w:t>研究利用了全球最全面的“人类足迹”（Human Footprint）地图数据，该数据</w:t>
      </w:r>
      <w:r w:rsidRPr="007962F5">
        <w:rPr>
          <w:rFonts w:ascii="楷体" w:eastAsia="楷体" w:hAnsi="楷体"/>
          <w:sz w:val="21"/>
          <w:szCs w:val="21"/>
        </w:rPr>
        <w:lastRenderedPageBreak/>
        <w:t>整合了建筑环境、集约农业、牧场土地、人口密度、夜间灯光、道路、铁路及通航水道等八类压力指标。此外，研究还结合了世界保护地数据库（WDPA）中关于全球保护地的边界、建立时间及 IUCN 管理类别等信息。</w:t>
      </w:r>
    </w:p>
    <w:p w14:paraId="45161F42" w14:textId="77777777" w:rsidR="007962F5" w:rsidRPr="007962F5" w:rsidRDefault="007962F5" w:rsidP="007962F5">
      <w:pPr>
        <w:rPr>
          <w:rFonts w:ascii="楷体" w:eastAsia="楷体" w:hAnsi="楷体" w:hint="eastAsia"/>
          <w:sz w:val="21"/>
          <w:szCs w:val="21"/>
        </w:rPr>
      </w:pPr>
      <w:r w:rsidRPr="007962F5">
        <w:rPr>
          <w:rFonts w:ascii="楷体" w:eastAsia="楷体" w:hAnsi="楷体"/>
          <w:b/>
          <w:bCs/>
          <w:sz w:val="21"/>
          <w:szCs w:val="21"/>
        </w:rPr>
        <w:t>核心贡献:</w:t>
      </w:r>
      <w:r w:rsidRPr="007962F5">
        <w:rPr>
          <w:rFonts w:ascii="Calibri" w:eastAsia="楷体" w:hAnsi="Calibri" w:cs="Calibri"/>
          <w:sz w:val="21"/>
          <w:szCs w:val="21"/>
        </w:rPr>
        <w:t> </w:t>
      </w:r>
      <w:r w:rsidRPr="007962F5">
        <w:rPr>
          <w:rFonts w:ascii="楷体" w:eastAsia="楷体" w:hAnsi="楷体"/>
          <w:sz w:val="21"/>
          <w:szCs w:val="21"/>
        </w:rPr>
        <w:t>核心贡献在于首次在全球尺度上量化并评估了人类活动对保护地的累积压力及其历史变化。研究揭示了尽管全球保护地面积自 1992 年以来几乎翻倍，但仍有约三分之一的保护地处于高强度的人类压力之下。这一发现挑战了保护地作为生物多样性避难所的传统认知，强调了</w:t>
      </w:r>
      <w:proofErr w:type="gramStart"/>
      <w:r w:rsidRPr="007962F5">
        <w:rPr>
          <w:rFonts w:ascii="楷体" w:eastAsia="楷体" w:hAnsi="楷体"/>
          <w:sz w:val="21"/>
          <w:szCs w:val="21"/>
        </w:rPr>
        <w:t>仅关注</w:t>
      </w:r>
      <w:proofErr w:type="gramEnd"/>
      <w:r w:rsidRPr="007962F5">
        <w:rPr>
          <w:rFonts w:ascii="楷体" w:eastAsia="楷体" w:hAnsi="楷体"/>
          <w:sz w:val="21"/>
          <w:szCs w:val="21"/>
        </w:rPr>
        <w:t>保护地“面积”目标的局限性，并呼吁国际社会在制定生物多样性保护目标时，必须将保护地的“质量”和“管理有效性”置于核心地位。</w:t>
      </w:r>
    </w:p>
    <w:p w14:paraId="7CBA065B" w14:textId="77777777" w:rsidR="007962F5" w:rsidRPr="007962F5" w:rsidRDefault="007962F5" w:rsidP="007962F5">
      <w:pPr>
        <w:rPr>
          <w:rFonts w:ascii="楷体" w:eastAsia="楷体" w:hAnsi="楷体" w:hint="eastAsia"/>
          <w:sz w:val="21"/>
          <w:szCs w:val="21"/>
        </w:rPr>
      </w:pPr>
      <w:r w:rsidRPr="007962F5">
        <w:rPr>
          <w:rFonts w:ascii="楷体" w:eastAsia="楷体" w:hAnsi="楷体"/>
          <w:b/>
          <w:bCs/>
          <w:sz w:val="21"/>
          <w:szCs w:val="21"/>
        </w:rPr>
        <w:t>具体指标:</w:t>
      </w:r>
      <w:r w:rsidRPr="007962F5">
        <w:rPr>
          <w:rFonts w:ascii="Calibri" w:eastAsia="楷体" w:hAnsi="Calibri" w:cs="Calibri"/>
          <w:sz w:val="21"/>
          <w:szCs w:val="21"/>
        </w:rPr>
        <w:t> </w:t>
      </w:r>
      <w:r w:rsidRPr="007962F5">
        <w:rPr>
          <w:rFonts w:ascii="楷体" w:eastAsia="楷体" w:hAnsi="楷体"/>
          <w:sz w:val="21"/>
          <w:szCs w:val="21"/>
        </w:rPr>
        <w:t xml:space="preserve">研究将“人类足迹”评分（Human Footprint score）大于或等于 4 定义为“高强度人类压力”。结果显示，全球 32.8%（约 600.5 </w:t>
      </w:r>
      <w:proofErr w:type="gramStart"/>
      <w:r w:rsidRPr="007962F5">
        <w:rPr>
          <w:rFonts w:ascii="楷体" w:eastAsia="楷体" w:hAnsi="楷体"/>
          <w:sz w:val="21"/>
          <w:szCs w:val="21"/>
        </w:rPr>
        <w:t>万平方公里</w:t>
      </w:r>
      <w:proofErr w:type="gramEnd"/>
      <w:r w:rsidRPr="007962F5">
        <w:rPr>
          <w:rFonts w:ascii="楷体" w:eastAsia="楷体" w:hAnsi="楷体"/>
          <w:sz w:val="21"/>
          <w:szCs w:val="21"/>
        </w:rPr>
        <w:t>）的保护地处于该压力水平。在 1992 年《生物多样性公约》批准前设立的保护地中，55% 的区域人类压力有所增加。虽然严格保护地（IUCN I 和 II 类）的平均压力较低，但仍有 12.4% 和 24.1% 的面积处于高压状态。若排除这些受压区域，全球仅有 42% 的保护地真正免受可测量的人类活动干扰。</w:t>
      </w:r>
    </w:p>
    <w:p w14:paraId="0792DA08" w14:textId="7B68E914" w:rsidR="007962F5" w:rsidRPr="007962F5" w:rsidRDefault="007962F5" w:rsidP="007962F5">
      <w:pPr>
        <w:rPr>
          <w:rFonts w:ascii="楷体" w:eastAsia="楷体" w:hAnsi="楷体" w:hint="eastAsia"/>
          <w:sz w:val="21"/>
          <w:szCs w:val="21"/>
        </w:rPr>
      </w:pPr>
      <w:r w:rsidRPr="007962F5">
        <w:rPr>
          <w:rFonts w:ascii="楷体" w:eastAsia="楷体" w:hAnsi="楷体"/>
          <w:b/>
          <w:bCs/>
          <w:sz w:val="21"/>
          <w:szCs w:val="21"/>
        </w:rPr>
        <w:t>研究局限:</w:t>
      </w:r>
      <w:r w:rsidRPr="007962F5">
        <w:rPr>
          <w:rFonts w:ascii="Calibri" w:eastAsia="楷体" w:hAnsi="Calibri" w:cs="Calibri"/>
          <w:sz w:val="21"/>
          <w:szCs w:val="21"/>
        </w:rPr>
        <w:t> </w:t>
      </w:r>
      <w:r w:rsidRPr="007962F5">
        <w:rPr>
          <w:rFonts w:ascii="楷体" w:eastAsia="楷体" w:hAnsi="楷体"/>
          <w:sz w:val="21"/>
          <w:szCs w:val="21"/>
        </w:rPr>
        <w:t>人类足迹地图的空间分辨率相对较粗，可能无法捕捉到极小规模的干扰；该指标主要反映物理景观的改变，未能涵盖盗猎、外来物种入侵及气候变化等非结构性压力；此外，由于数据更新频率限制，研究可能无法实时反映最新的土地利用变化，且对于某些管理类别缺失（NA）的保护地评估存在一定的不确定性。</w:t>
      </w:r>
    </w:p>
    <w:bookmarkEnd w:id="2"/>
    <w:p w14:paraId="401EDF4A" w14:textId="77777777" w:rsidR="007962F5" w:rsidRPr="006D7F2C" w:rsidRDefault="007962F5">
      <w:pPr>
        <w:rPr>
          <w:rFonts w:ascii="楷体" w:eastAsia="楷体" w:hAnsi="楷体" w:hint="eastAsia"/>
          <w:sz w:val="21"/>
          <w:szCs w:val="21"/>
        </w:rPr>
      </w:pPr>
    </w:p>
    <w:sectPr w:rsidR="007962F5" w:rsidRPr="006D7F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B2DDA" w14:textId="77777777" w:rsidR="00EE1B25" w:rsidRDefault="00EE1B25">
      <w:pPr>
        <w:spacing w:line="240" w:lineRule="auto"/>
        <w:rPr>
          <w:rFonts w:hint="eastAsia"/>
        </w:rPr>
      </w:pPr>
      <w:r>
        <w:separator/>
      </w:r>
    </w:p>
  </w:endnote>
  <w:endnote w:type="continuationSeparator" w:id="0">
    <w:p w14:paraId="1A231557" w14:textId="77777777" w:rsidR="00EE1B25" w:rsidRDefault="00EE1B2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87EA" w14:textId="77777777" w:rsidR="00EE1B25" w:rsidRDefault="00EE1B25">
      <w:pPr>
        <w:spacing w:after="0"/>
        <w:rPr>
          <w:rFonts w:hint="eastAsia"/>
        </w:rPr>
      </w:pPr>
      <w:r>
        <w:separator/>
      </w:r>
    </w:p>
  </w:footnote>
  <w:footnote w:type="continuationSeparator" w:id="0">
    <w:p w14:paraId="21DA6B0D" w14:textId="77777777" w:rsidR="00EE1B25" w:rsidRDefault="00EE1B25">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B15"/>
    <w:rsid w:val="0002061E"/>
    <w:rsid w:val="000B7D21"/>
    <w:rsid w:val="00104ECE"/>
    <w:rsid w:val="001245EF"/>
    <w:rsid w:val="00137E5C"/>
    <w:rsid w:val="00187956"/>
    <w:rsid w:val="001D7589"/>
    <w:rsid w:val="0021381E"/>
    <w:rsid w:val="0031086A"/>
    <w:rsid w:val="003145B3"/>
    <w:rsid w:val="00343A5F"/>
    <w:rsid w:val="003B43B3"/>
    <w:rsid w:val="00495CF8"/>
    <w:rsid w:val="004B6B4D"/>
    <w:rsid w:val="004F4008"/>
    <w:rsid w:val="00560E69"/>
    <w:rsid w:val="006842F3"/>
    <w:rsid w:val="006B293A"/>
    <w:rsid w:val="006D7F2C"/>
    <w:rsid w:val="007962F5"/>
    <w:rsid w:val="007B6A74"/>
    <w:rsid w:val="007D1F6D"/>
    <w:rsid w:val="007D46A5"/>
    <w:rsid w:val="007F337B"/>
    <w:rsid w:val="007F377C"/>
    <w:rsid w:val="00824ECB"/>
    <w:rsid w:val="008802A8"/>
    <w:rsid w:val="008F6115"/>
    <w:rsid w:val="0095669A"/>
    <w:rsid w:val="00A34071"/>
    <w:rsid w:val="00A6636E"/>
    <w:rsid w:val="00AE316B"/>
    <w:rsid w:val="00B94410"/>
    <w:rsid w:val="00BF7BD4"/>
    <w:rsid w:val="00D0237E"/>
    <w:rsid w:val="00D53B70"/>
    <w:rsid w:val="00D67959"/>
    <w:rsid w:val="00E23B15"/>
    <w:rsid w:val="00E51856"/>
    <w:rsid w:val="00E81C0C"/>
    <w:rsid w:val="00EC4176"/>
    <w:rsid w:val="00EE1B25"/>
    <w:rsid w:val="00EF20F4"/>
    <w:rsid w:val="00F77AAF"/>
    <w:rsid w:val="00FC65F3"/>
    <w:rsid w:val="25332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EE542"/>
  <w15:docId w15:val="{C5C3C516-7BAB-4629-9620-E0A5195B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c">
    <w:name w:val="header"/>
    <w:basedOn w:val="a"/>
    <w:link w:val="ad"/>
    <w:uiPriority w:val="99"/>
    <w:unhideWhenUsed/>
    <w:rsid w:val="004B6B4D"/>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4B6B4D"/>
    <w:rPr>
      <w:kern w:val="2"/>
      <w:sz w:val="18"/>
      <w:szCs w:val="18"/>
      <w14:ligatures w14:val="standardContextual"/>
    </w:rPr>
  </w:style>
  <w:style w:type="paragraph" w:styleId="ae">
    <w:name w:val="footer"/>
    <w:basedOn w:val="a"/>
    <w:link w:val="af"/>
    <w:uiPriority w:val="99"/>
    <w:unhideWhenUsed/>
    <w:rsid w:val="004B6B4D"/>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4B6B4D"/>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2715</TotalTime>
  <Pages>4</Pages>
  <Words>2111</Words>
  <Characters>2598</Characters>
  <Application>Microsoft Office Word</Application>
  <DocSecurity>0</DocSecurity>
  <Lines>72</Lines>
  <Paragraphs>32</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Dayan Guan</dc:creator>
  <cp:lastModifiedBy>Dayan Guan</cp:lastModifiedBy>
  <cp:revision>19</cp:revision>
  <dcterms:created xsi:type="dcterms:W3CDTF">2025-07-15T06:54:00Z</dcterms:created>
  <dcterms:modified xsi:type="dcterms:W3CDTF">2026-02-03T07:18:00Z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eyJoZGlkIjoiMzEwNTM5NzYwMDRjMzkwZTVkZjY2ODkwMGIxNGU0OTUiLCJ1c2VySWQiOiIxNTY1NDI4NDk3In0=</vt:lpwstr>
  </property>
  <property fmtid="{D5CDD505-2E9C-101B-9397-08002B2CF9AE}" pid="3" name="KSOProductBuildVer">
    <vt:lpwstr>2052-12.1.0.24034</vt:lpwstr>
  </property>
  <property fmtid="{D5CDD505-2E9C-101B-9397-08002B2CF9AE}" pid="4" name="ICV">
    <vt:lpwstr>36855026BB004AD7B60217C00C2B5527_12</vt:lpwstr>
  </property>
</Properties>
</file>