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Memo: CNA1</w:t>
      </w:r>
    </w:p>
    <w:p>
      <w:r>
        <w:rPr>
          <w:b/>
        </w:rPr>
        <w:t>From: Rojas PLC</w:t>
        <w:br/>
        <w:t>153 Lee Valley, North Travisstad, NE 56703</w:t>
      </w:r>
    </w:p>
    <w:p>
      <w:r>
        <w:t>To: Smith Inc</w:t>
        <w:br/>
        <w:t>475 Alexander Rest, East Paul, MI 31560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Inverse transitional infrastructure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$438.81</w:t>
            </w:r>
          </w:p>
        </w:tc>
        <w:tc>
          <w:tcPr>
            <w:tcW w:type="dxa" w:w="2160"/>
          </w:tcPr>
          <w:p>
            <w:r>
              <w:t>$39931.71</w:t>
            </w:r>
          </w:p>
        </w:tc>
      </w:tr>
      <w:tr>
        <w:tc>
          <w:tcPr>
            <w:tcW w:type="dxa" w:w="2160"/>
          </w:tcPr>
          <w:p>
            <w:r>
              <w:t>Reverse-engineered hybrid process improvement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$66.15</w:t>
            </w:r>
          </w:p>
        </w:tc>
        <w:tc>
          <w:tcPr>
            <w:tcW w:type="dxa" w:w="2160"/>
          </w:tcPr>
          <w:p>
            <w:r>
              <w:t>$727.65</w:t>
            </w:r>
          </w:p>
        </w:tc>
      </w:tr>
    </w:tbl>
    <w:p>
      <w:pPr>
        <w:pStyle w:val="Heading2"/>
      </w:pPr>
      <w:r>
        <w:br/>
        <w:t>Total Amount: $40659.36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