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Project: WORK-02</w:t>
      </w:r>
    </w:p>
    <w:p>
      <w:r>
        <w:rPr>
          <w:b/>
        </w:rPr>
        <w:t>From: Williams PLC</w:t>
        <w:br/>
        <w:t>7031 Raven Motorway, Harveyshire, VA 66839</w:t>
      </w:r>
    </w:p>
    <w:p>
      <w:r>
        <w:t>To: Valdez, Erickson and Wilson</w:t>
        <w:br/>
        <w:t>94676 Davis Trail Suite 276, Hectorfort, MN 69514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Phased stable productivity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$329.05</w:t>
            </w:r>
          </w:p>
        </w:tc>
        <w:tc>
          <w:tcPr>
            <w:tcW w:type="dxa" w:w="2160"/>
          </w:tcPr>
          <w:p>
            <w:r>
              <w:t>$11187.70</w:t>
            </w:r>
          </w:p>
        </w:tc>
      </w:tr>
      <w:tr>
        <w:tc>
          <w:tcPr>
            <w:tcW w:type="dxa" w:w="2160"/>
          </w:tcPr>
          <w:p>
            <w:r>
              <w:t>Focused human-resource matrices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$216.37</w:t>
            </w:r>
          </w:p>
        </w:tc>
        <w:tc>
          <w:tcPr>
            <w:tcW w:type="dxa" w:w="2160"/>
          </w:tcPr>
          <w:p>
            <w:r>
              <w:t>$1947.33</w:t>
            </w:r>
          </w:p>
        </w:tc>
      </w:tr>
      <w:tr>
        <w:tc>
          <w:tcPr>
            <w:tcW w:type="dxa" w:w="2160"/>
          </w:tcPr>
          <w:p>
            <w:r>
              <w:t>Monitored disintermediate secured line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$387.21</w:t>
            </w:r>
          </w:p>
        </w:tc>
        <w:tc>
          <w:tcPr>
            <w:tcW w:type="dxa" w:w="2160"/>
          </w:tcPr>
          <w:p>
            <w:r>
              <w:t>$3872.10</w:t>
            </w:r>
          </w:p>
        </w:tc>
      </w:tr>
      <w:tr>
        <w:tc>
          <w:tcPr>
            <w:tcW w:type="dxa" w:w="2160"/>
          </w:tcPr>
          <w:p>
            <w:r>
              <w:t>De-engineered bi-directional approach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$318.12</w:t>
            </w:r>
          </w:p>
        </w:tc>
        <w:tc>
          <w:tcPr>
            <w:tcW w:type="dxa" w:w="2160"/>
          </w:tcPr>
          <w:p>
            <w:r>
              <w:t>$12724.80</w:t>
            </w:r>
          </w:p>
        </w:tc>
      </w:tr>
      <w:tr>
        <w:tc>
          <w:tcPr>
            <w:tcW w:type="dxa" w:w="2160"/>
          </w:tcPr>
          <w:p>
            <w:r>
              <w:t>Profit-focused executive support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$210.99</w:t>
            </w:r>
          </w:p>
        </w:tc>
        <w:tc>
          <w:tcPr>
            <w:tcW w:type="dxa" w:w="2160"/>
          </w:tcPr>
          <w:p>
            <w:r>
              <w:t>$18778.11</w:t>
            </w:r>
          </w:p>
        </w:tc>
      </w:tr>
    </w:tbl>
    <w:p>
      <w:pPr>
        <w:pStyle w:val="Heading2"/>
      </w:pPr>
      <w:r>
        <w:br/>
        <w:t>Total Amount: $48510.04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