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Supplier: DS-303</w:t>
      </w:r>
    </w:p>
    <w:p>
      <w:r>
        <w:rPr>
          <w:b/>
        </w:rPr>
        <w:t>From: Lara-Barron</w:t>
        <w:br/>
        <w:t>500 Katelyn Course Suite 743, New Jennyland, AR 94511</w:t>
      </w:r>
    </w:p>
    <w:p>
      <w:r>
        <w:t>To: Green, Wilson and Ho</w:t>
        <w:br/>
        <w:t>5201 Ayers Squares Apt. 184, New Annabury, FL 74697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User-friendly foreground policy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$321.63</w:t>
            </w:r>
          </w:p>
        </w:tc>
        <w:tc>
          <w:tcPr>
            <w:tcW w:type="dxa" w:w="2160"/>
          </w:tcPr>
          <w:p>
            <w:r>
              <w:t>$7397.49</w:t>
            </w:r>
          </w:p>
        </w:tc>
      </w:tr>
      <w:tr>
        <w:tc>
          <w:tcPr>
            <w:tcW w:type="dxa" w:w="2160"/>
          </w:tcPr>
          <w:p>
            <w:r>
              <w:t>Ergonomic radical concept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$334.42</w:t>
            </w:r>
          </w:p>
        </w:tc>
        <w:tc>
          <w:tcPr>
            <w:tcW w:type="dxa" w:w="2160"/>
          </w:tcPr>
          <w:p>
            <w:r>
              <w:t>$33107.58</w:t>
            </w:r>
          </w:p>
        </w:tc>
      </w:tr>
      <w:tr>
        <w:tc>
          <w:tcPr>
            <w:tcW w:type="dxa" w:w="2160"/>
          </w:tcPr>
          <w:p>
            <w:r>
              <w:t>Intuitive contextually-based artificial intelligence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$413.39</w:t>
            </w:r>
          </w:p>
        </w:tc>
        <w:tc>
          <w:tcPr>
            <w:tcW w:type="dxa" w:w="2160"/>
          </w:tcPr>
          <w:p>
            <w:r>
              <w:t>$21496.28</w:t>
            </w:r>
          </w:p>
        </w:tc>
      </w:tr>
      <w:tr>
        <w:tc>
          <w:tcPr>
            <w:tcW w:type="dxa" w:w="2160"/>
          </w:tcPr>
          <w:p>
            <w:r>
              <w:t>Synergized reciprocal database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$499.35</w:t>
            </w:r>
          </w:p>
        </w:tc>
        <w:tc>
          <w:tcPr>
            <w:tcW w:type="dxa" w:w="2160"/>
          </w:tcPr>
          <w:p>
            <w:r>
              <w:t>$47937.60</w:t>
            </w:r>
          </w:p>
        </w:tc>
      </w:tr>
    </w:tbl>
    <w:p>
      <w:pPr>
        <w:pStyle w:val="Heading2"/>
      </w:pPr>
      <w:r>
        <w:br/>
        <w:t>Total Amount: $109938.95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