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ptos Display" w:hAnsi="Aptos Display"/>
          <w:b/>
          <w:color w:val="0D4630"/>
          <w:sz w:val="56"/>
        </w:rPr>
        <w:t>Kinetics Group</w:t>
      </w:r>
    </w:p>
    <w:p>
      <w:pPr>
        <w:jc w:val="center"/>
      </w:pPr>
      <w:r>
        <w:rPr>
          <w:rFonts w:ascii="Aptos Display" w:hAnsi="Aptos Display"/>
          <w:b/>
          <w:color w:val="082C20"/>
          <w:sz w:val="38"/>
        </w:rPr>
        <w:t>Innovation Hubs — attendee registration flows</w:t>
      </w:r>
    </w:p>
    <w:p>
      <w:pPr>
        <w:spacing w:after="280"/>
        <w:jc w:val="center"/>
      </w:pPr>
      <w:r>
        <w:rPr>
          <w:color w:val="607069"/>
          <w:sz w:val="22"/>
        </w:rPr>
        <w:t>A visual guide to what an attendee sees from first invitation through response.</w:t>
      </w:r>
    </w:p>
    <w:tbl>
      <w:tblPr>
        <w:tblW w:type="auto" w:w="0"/>
        <w:jc w:val="center"/>
        <w:tblLook w:firstColumn="1" w:firstRow="1" w:lastColumn="0" w:lastRow="0" w:noHBand="0" w:noVBand="1" w:val="04A0"/>
      </w:tblPr>
      <w:tblGrid>
        <w:gridCol w:w="10166"/>
      </w:tblGrid>
      <w:tr>
        <w:tc>
          <w:tcPr>
            <w:tcW w:type="dxa" w:w="10166"/>
            <w:shd w:fill="f1f7e7"/>
            <w:tcMar>
              <w:top w:w="180" w:type="dxa"/>
              <w:start w:w="220" w:type="dxa"/>
              <w:bottom w:w="180" w:type="dxa"/>
              <w:end w:w="220" w:type="dxa"/>
            </w:tcMar>
          </w:tcPr>
          <w:p>
            <w:r>
              <w:rPr>
                <w:rFonts w:ascii="Aptos" w:hAnsi="Aptos"/>
                <w:b w:val="0"/>
                <w:color w:val="082C20"/>
                <w:sz w:val="20"/>
              </w:rPr>
              <w:t>Executive summary  •  A recurring Hub uses a public interest form first, then a no-login meeting RSVP link. A One-Off event goes directly to a private invitation/RSVP link and does not use public registration.</w:t>
            </w:r>
          </w:p>
        </w:tc>
      </w:tr>
    </w:tbl>
    <w:p/>
    <w:p>
      <w:pPr>
        <w:jc w:val="center"/>
      </w:pPr>
      <w:r>
        <w:drawing>
          <wp:inline xmlns:a="http://schemas.openxmlformats.org/drawingml/2006/main" xmlns:pic="http://schemas.openxmlformats.org/drawingml/2006/picture">
            <wp:extent cx="5212080" cy="3619500"/>
            <wp:docPr id="1" name="Picture 1"/>
            <wp:cNvGraphicFramePr>
              <a:graphicFrameLocks noChangeAspect="1"/>
            </wp:cNvGraphicFramePr>
            <a:graphic>
              <a:graphicData uri="http://schemas.openxmlformats.org/drawingml/2006/picture">
                <pic:pic>
                  <pic:nvPicPr>
                    <pic:cNvPr id="0" name="hub-registration-open.png"/>
                    <pic:cNvPicPr/>
                  </pic:nvPicPr>
                  <pic:blipFill>
                    <a:blip r:embed="rId9"/>
                    <a:stretch>
                      <a:fillRect/>
                    </a:stretch>
                  </pic:blipFill>
                  <pic:spPr>
                    <a:xfrm>
                      <a:off x="0" y="0"/>
                      <a:ext cx="5212080" cy="3619500"/>
                    </a:xfrm>
                    <a:prstGeom prst="rect"/>
                  </pic:spPr>
                </pic:pic>
              </a:graphicData>
            </a:graphic>
          </wp:inline>
        </w:drawing>
      </w:r>
    </w:p>
    <w:p>
      <w:pPr>
        <w:spacing w:after="160"/>
        <w:jc w:val="center"/>
      </w:pPr>
      <w:r>
        <w:rPr>
          <w:rFonts w:ascii="Aptos" w:hAnsi="Aptos"/>
          <w:i/>
          <w:color w:val="607069"/>
          <w:sz w:val="16"/>
        </w:rPr>
        <w:t>Open Hub registration form</w:t>
      </w:r>
    </w:p>
    <w:p>
      <w:pPr>
        <w:jc w:val="center"/>
      </w:pPr>
      <w:r>
        <w:rPr>
          <w:i/>
          <w:color w:val="607069"/>
          <w:sz w:val="16"/>
        </w:rPr>
        <w:t>Representative UI captures use isolated test content; the screens and interactions are the actual application.</w:t>
      </w:r>
    </w:p>
    <w:p>
      <w:pPr>
        <w:pStyle w:val="Heading1"/>
        <w:spacing w:before="280" w:after="100"/>
      </w:pPr>
      <w:r>
        <w:rPr>
          <w:rFonts w:ascii="Aptos Display" w:hAnsi="Aptos Display"/>
          <w:color w:val="0D4630"/>
        </w:rPr>
        <w:t>1. At a glance</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0d4630"/>
            <w:tcMar>
              <w:top w:w="120" w:type="dxa"/>
              <w:start w:w="160" w:type="dxa"/>
              <w:bottom w:w="120" w:type="dxa"/>
              <w:end w:w="160" w:type="dxa"/>
            </w:tcMar>
          </w:tcPr>
          <w:p>
            <w:pPr>
              <w:jc w:val="center"/>
            </w:pPr>
            <w:r>
              <w:rPr>
                <w:rFonts w:ascii="Aptos" w:hAnsi="Aptos"/>
                <w:b/>
                <w:color w:val="FFFFFF"/>
                <w:sz w:val="20"/>
              </w:rPr>
            </w:r>
          </w:p>
        </w:tc>
        <w:tc>
          <w:tcPr>
            <w:tcW w:type="dxa" w:w="3168"/>
            <w:shd w:fill="0d4630"/>
            <w:tcMar>
              <w:top w:w="120" w:type="dxa"/>
              <w:start w:w="160" w:type="dxa"/>
              <w:bottom w:w="120" w:type="dxa"/>
              <w:end w:w="160" w:type="dxa"/>
            </w:tcMar>
          </w:tcPr>
          <w:p>
            <w:pPr>
              <w:jc w:val="center"/>
            </w:pPr>
            <w:r>
              <w:rPr>
                <w:rFonts w:ascii="Aptos" w:hAnsi="Aptos"/>
                <w:b/>
                <w:color w:val="FFFFFF"/>
                <w:sz w:val="20"/>
              </w:rPr>
              <w:t>Recurring Hub</w:t>
            </w:r>
          </w:p>
        </w:tc>
        <w:tc>
          <w:tcPr>
            <w:tcW w:type="dxa" w:w="3168"/>
            <w:shd w:fill="0d4630"/>
            <w:tcMar>
              <w:top w:w="120" w:type="dxa"/>
              <w:start w:w="160" w:type="dxa"/>
              <w:bottom w:w="120" w:type="dxa"/>
              <w:end w:w="160" w:type="dxa"/>
            </w:tcMar>
          </w:tcPr>
          <w:p>
            <w:pPr>
              <w:jc w:val="center"/>
            </w:pPr>
            <w:r>
              <w:rPr>
                <w:rFonts w:ascii="Aptos" w:hAnsi="Aptos"/>
                <w:b/>
                <w:color w:val="FFFFFF"/>
                <w:sz w:val="20"/>
              </w:rPr>
              <w:t>One-Off event</w:t>
            </w:r>
          </w:p>
        </w:tc>
      </w:tr>
      <w:tr>
        <w:tc>
          <w:tcPr>
            <w:tcW w:type="dxa" w:w="3389"/>
            <w:tcMar>
              <w:top w:w="120" w:type="dxa"/>
              <w:start w:w="160" w:type="dxa"/>
              <w:bottom w:w="120" w:type="dxa"/>
              <w:end w:w="160" w:type="dxa"/>
            </w:tcMar>
            <w:shd w:fill="F7FAF7"/>
            <w:tcBorders>
              <w:bottom w:val="single" w:sz="4" w:color="dbe6df"/>
            </w:tcBorders>
          </w:tcPr>
          <w:p>
            <w:r>
              <w:rPr>
                <w:rFonts w:ascii="Aptos" w:hAnsi="Aptos"/>
                <w:b/>
                <w:color w:val="0D4630"/>
                <w:sz w:val="19"/>
              </w:rPr>
              <w:t>Starting point</w:t>
            </w:r>
          </w:p>
        </w:tc>
        <w:tc>
          <w:tcPr>
            <w:tcW w:type="dxa" w:w="3389"/>
            <w:tcMar>
              <w:top w:w="120" w:type="dxa"/>
              <w:start w:w="160" w:type="dxa"/>
              <w:bottom w:w="120" w:type="dxa"/>
              <w:end w:w="160" w:type="dxa"/>
            </w:tcMar>
            <w:shd w:fill="F7FAF7"/>
            <w:tcBorders>
              <w:bottom w:val="single" w:sz="4" w:color="dbe6df"/>
            </w:tcBorders>
          </w:tcPr>
          <w:p>
            <w:r>
              <w:rPr>
                <w:rFonts w:ascii="Aptos" w:hAnsi="Aptos"/>
                <w:b w:val="0"/>
                <w:color w:val="17251F"/>
                <w:sz w:val="19"/>
              </w:rPr>
              <w:t>Public registration link</w:t>
            </w:r>
          </w:p>
        </w:tc>
        <w:tc>
          <w:tcPr>
            <w:tcW w:type="dxa" w:w="3389"/>
            <w:tcMar>
              <w:top w:w="120" w:type="dxa"/>
              <w:start w:w="160" w:type="dxa"/>
              <w:bottom w:w="120" w:type="dxa"/>
              <w:end w:w="160" w:type="dxa"/>
            </w:tcMar>
            <w:shd w:fill="F7FAF7"/>
            <w:tcBorders>
              <w:bottom w:val="single" w:sz="4" w:color="dbe6df"/>
            </w:tcBorders>
          </w:tcPr>
          <w:p>
            <w:r>
              <w:rPr>
                <w:rFonts w:ascii="Aptos" w:hAnsi="Aptos"/>
                <w:b w:val="0"/>
                <w:color w:val="17251F"/>
                <w:sz w:val="19"/>
              </w:rPr>
              <w:t>Direct private invitation</w:t>
            </w:r>
          </w:p>
        </w:tc>
      </w:tr>
      <w:tr>
        <w:tc>
          <w:tcPr>
            <w:tcW w:type="dxa" w:w="3389"/>
            <w:tcMar>
              <w:top w:w="120" w:type="dxa"/>
              <w:start w:w="160" w:type="dxa"/>
              <w:bottom w:w="120" w:type="dxa"/>
              <w:end w:w="160" w:type="dxa"/>
            </w:tcMar>
            <w:shd w:fill="ffffff"/>
            <w:tcBorders>
              <w:bottom w:val="single" w:sz="4" w:color="dbe6df"/>
            </w:tcBorders>
          </w:tcPr>
          <w:p>
            <w:r>
              <w:rPr>
                <w:rFonts w:ascii="Aptos" w:hAnsi="Aptos"/>
                <w:b/>
                <w:color w:val="0D4630"/>
                <w:sz w:val="19"/>
              </w:rPr>
              <w:t>Login needed to respond</w:t>
            </w:r>
          </w:p>
        </w:tc>
        <w:tc>
          <w:tcPr>
            <w:tcW w:type="dxa" w:w="3389"/>
            <w:tcMar>
              <w:top w:w="120" w:type="dxa"/>
              <w:start w:w="160" w:type="dxa"/>
              <w:bottom w:w="120" w:type="dxa"/>
              <w:end w:w="160" w:type="dxa"/>
            </w:tcMar>
            <w:shd w:fill="ffffff"/>
            <w:tcBorders>
              <w:bottom w:val="single" w:sz="4" w:color="dbe6df"/>
            </w:tcBorders>
          </w:tcPr>
          <w:p>
            <w:r>
              <w:rPr>
                <w:rFonts w:ascii="Aptos" w:hAnsi="Aptos"/>
                <w:b w:val="0"/>
                <w:color w:val="17251F"/>
                <w:sz w:val="19"/>
              </w:rPr>
              <w:t>No</w:t>
            </w:r>
          </w:p>
        </w:tc>
        <w:tc>
          <w:tcPr>
            <w:tcW w:type="dxa" w:w="3389"/>
            <w:tcMar>
              <w:top w:w="120" w:type="dxa"/>
              <w:start w:w="160" w:type="dxa"/>
              <w:bottom w:w="120" w:type="dxa"/>
              <w:end w:w="160" w:type="dxa"/>
            </w:tcMar>
            <w:shd w:fill="ffffff"/>
            <w:tcBorders>
              <w:bottom w:val="single" w:sz="4" w:color="dbe6df"/>
            </w:tcBorders>
          </w:tcPr>
          <w:p>
            <w:r>
              <w:rPr>
                <w:rFonts w:ascii="Aptos" w:hAnsi="Aptos"/>
                <w:b w:val="0"/>
                <w:color w:val="17251F"/>
                <w:sz w:val="19"/>
              </w:rPr>
              <w:t>No</w:t>
            </w:r>
          </w:p>
        </w:tc>
      </w:tr>
      <w:tr>
        <w:tc>
          <w:tcPr>
            <w:tcW w:type="dxa" w:w="3389"/>
            <w:tcMar>
              <w:top w:w="120" w:type="dxa"/>
              <w:start w:w="160" w:type="dxa"/>
              <w:bottom w:w="120" w:type="dxa"/>
              <w:end w:w="160" w:type="dxa"/>
            </w:tcMar>
            <w:shd w:fill="F7FAF7"/>
            <w:tcBorders>
              <w:bottom w:val="single" w:sz="4" w:color="dbe6df"/>
            </w:tcBorders>
          </w:tcPr>
          <w:p>
            <w:r>
              <w:rPr>
                <w:rFonts w:ascii="Aptos" w:hAnsi="Aptos"/>
                <w:b/>
                <w:color w:val="0D4630"/>
                <w:sz w:val="19"/>
              </w:rPr>
              <w:t>Creates an attendee immediately</w:t>
            </w:r>
          </w:p>
        </w:tc>
        <w:tc>
          <w:tcPr>
            <w:tcW w:type="dxa" w:w="3389"/>
            <w:tcMar>
              <w:top w:w="120" w:type="dxa"/>
              <w:start w:w="160" w:type="dxa"/>
              <w:bottom w:w="120" w:type="dxa"/>
              <w:end w:w="160" w:type="dxa"/>
            </w:tcMar>
            <w:shd w:fill="F7FAF7"/>
            <w:tcBorders>
              <w:bottom w:val="single" w:sz="4" w:color="dbe6df"/>
            </w:tcBorders>
          </w:tcPr>
          <w:p>
            <w:r>
              <w:rPr>
                <w:rFonts w:ascii="Aptos" w:hAnsi="Aptos"/>
                <w:b w:val="0"/>
                <w:color w:val="17251F"/>
                <w:sz w:val="19"/>
              </w:rPr>
              <w:t>No — creates a pending registration</w:t>
            </w:r>
          </w:p>
        </w:tc>
        <w:tc>
          <w:tcPr>
            <w:tcW w:type="dxa" w:w="3389"/>
            <w:tcMar>
              <w:top w:w="120" w:type="dxa"/>
              <w:start w:w="160" w:type="dxa"/>
              <w:bottom w:w="120" w:type="dxa"/>
              <w:end w:w="160" w:type="dxa"/>
            </w:tcMar>
            <w:shd w:fill="F7FAF7"/>
            <w:tcBorders>
              <w:bottom w:val="single" w:sz="4" w:color="dbe6df"/>
            </w:tcBorders>
          </w:tcPr>
          <w:p>
            <w:r>
              <w:rPr>
                <w:rFonts w:ascii="Aptos" w:hAnsi="Aptos"/>
                <w:b w:val="0"/>
                <w:color w:val="17251F"/>
                <w:sz w:val="19"/>
              </w:rPr>
              <w:t>Yes — attendee is invited directly</w:t>
            </w:r>
          </w:p>
        </w:tc>
      </w:tr>
      <w:tr>
        <w:tc>
          <w:tcPr>
            <w:tcW w:type="dxa" w:w="3389"/>
            <w:tcMar>
              <w:top w:w="120" w:type="dxa"/>
              <w:start w:w="160" w:type="dxa"/>
              <w:bottom w:w="120" w:type="dxa"/>
              <w:end w:w="160" w:type="dxa"/>
            </w:tcMar>
            <w:shd w:fill="ffffff"/>
            <w:tcBorders>
              <w:bottom w:val="single" w:sz="4" w:color="dbe6df"/>
            </w:tcBorders>
          </w:tcPr>
          <w:p>
            <w:r>
              <w:rPr>
                <w:rFonts w:ascii="Aptos" w:hAnsi="Aptos"/>
                <w:b/>
                <w:color w:val="0D4630"/>
                <w:sz w:val="19"/>
              </w:rPr>
              <w:t>RSVP page</w:t>
            </w:r>
          </w:p>
        </w:tc>
        <w:tc>
          <w:tcPr>
            <w:tcW w:type="dxa" w:w="3389"/>
            <w:tcMar>
              <w:top w:w="120" w:type="dxa"/>
              <w:start w:w="160" w:type="dxa"/>
              <w:bottom w:w="120" w:type="dxa"/>
              <w:end w:w="160" w:type="dxa"/>
            </w:tcMar>
            <w:shd w:fill="ffffff"/>
            <w:tcBorders>
              <w:bottom w:val="single" w:sz="4" w:color="dbe6df"/>
            </w:tcBorders>
          </w:tcPr>
          <w:p>
            <w:r>
              <w:rPr>
                <w:rFonts w:ascii="Aptos" w:hAnsi="Aptos"/>
                <w:b w:val="0"/>
                <w:color w:val="17251F"/>
                <w:sz w:val="19"/>
              </w:rPr>
              <w:t>Personalised recurring meeting RSVP</w:t>
            </w:r>
          </w:p>
        </w:tc>
        <w:tc>
          <w:tcPr>
            <w:tcW w:type="dxa" w:w="3389"/>
            <w:tcMar>
              <w:top w:w="120" w:type="dxa"/>
              <w:start w:w="160" w:type="dxa"/>
              <w:bottom w:w="120" w:type="dxa"/>
              <w:end w:w="160" w:type="dxa"/>
            </w:tcMar>
            <w:shd w:fill="ffffff"/>
            <w:tcBorders>
              <w:bottom w:val="single" w:sz="4" w:color="dbe6df"/>
            </w:tcBorders>
          </w:tcPr>
          <w:p>
            <w:r>
              <w:rPr>
                <w:rFonts w:ascii="Aptos" w:hAnsi="Aptos"/>
                <w:b w:val="0"/>
                <w:color w:val="17251F"/>
                <w:sz w:val="19"/>
              </w:rPr>
              <w:t>Personalised One-Off RSVP</w:t>
            </w:r>
          </w:p>
        </w:tc>
      </w:tr>
      <w:tr>
        <w:tc>
          <w:tcPr>
            <w:tcW w:type="dxa" w:w="3389"/>
            <w:tcMar>
              <w:top w:w="120" w:type="dxa"/>
              <w:start w:w="160" w:type="dxa"/>
              <w:bottom w:w="120" w:type="dxa"/>
              <w:end w:w="160" w:type="dxa"/>
            </w:tcMar>
            <w:shd w:fill="F7FAF7"/>
            <w:tcBorders>
              <w:bottom w:val="single" w:sz="4" w:color="dbe6df"/>
            </w:tcBorders>
          </w:tcPr>
          <w:p>
            <w:r>
              <w:rPr>
                <w:rFonts w:ascii="Aptos" w:hAnsi="Aptos"/>
                <w:b/>
                <w:color w:val="0D4630"/>
                <w:sz w:val="19"/>
              </w:rPr>
              <w:t>Full workspace</w:t>
            </w:r>
          </w:p>
        </w:tc>
        <w:tc>
          <w:tcPr>
            <w:tcW w:type="dxa" w:w="3389"/>
            <w:tcMar>
              <w:top w:w="120" w:type="dxa"/>
              <w:start w:w="160" w:type="dxa"/>
              <w:bottom w:w="120" w:type="dxa"/>
              <w:end w:w="160" w:type="dxa"/>
            </w:tcMar>
            <w:shd w:fill="F7FAF7"/>
            <w:tcBorders>
              <w:bottom w:val="single" w:sz="4" w:color="dbe6df"/>
            </w:tcBorders>
          </w:tcPr>
          <w:p>
            <w:r>
              <w:rPr>
                <w:rFonts w:ascii="Aptos" w:hAnsi="Aptos"/>
                <w:b w:val="0"/>
                <w:color w:val="17251F"/>
                <w:sz w:val="19"/>
              </w:rPr>
              <w:t>Available after magic-link sign-in</w:t>
            </w:r>
          </w:p>
        </w:tc>
        <w:tc>
          <w:tcPr>
            <w:tcW w:type="dxa" w:w="3389"/>
            <w:tcMar>
              <w:top w:w="120" w:type="dxa"/>
              <w:start w:w="160" w:type="dxa"/>
              <w:bottom w:w="120" w:type="dxa"/>
              <w:end w:w="160" w:type="dxa"/>
            </w:tcMar>
            <w:shd w:fill="F7FAF7"/>
            <w:tcBorders>
              <w:bottom w:val="single" w:sz="4" w:color="dbe6df"/>
            </w:tcBorders>
          </w:tcPr>
          <w:p>
            <w:r>
              <w:rPr>
                <w:rFonts w:ascii="Aptos" w:hAnsi="Aptos"/>
                <w:b w:val="0"/>
                <w:color w:val="17251F"/>
                <w:sz w:val="19"/>
              </w:rPr>
              <w:t>Not part of the One-Off flow</w:t>
            </w:r>
          </w:p>
        </w:tc>
      </w:tr>
    </w:tbl>
    <w:p/>
    <w:p>
      <w:pPr>
        <w:pStyle w:val="Heading1"/>
        <w:spacing w:before="280" w:after="100"/>
      </w:pPr>
      <w:r>
        <w:rPr>
          <w:rFonts w:ascii="Aptos Display" w:hAnsi="Aptos Display"/>
          <w:color w:val="0D4630"/>
        </w:rPr>
        <w:t>2. Recurring Hub registration flow</w:t>
      </w:r>
    </w:p>
    <w:p>
      <w:pPr>
        <w:spacing w:after="120" w:line="269" w:lineRule="auto"/>
      </w:pPr>
      <w:r>
        <w:rPr>
          <w:rFonts w:ascii="Aptos" w:hAnsi="Aptos"/>
          <w:color w:val="17251F"/>
          <w:sz w:val="20"/>
        </w:rPr>
        <w:t>Step 1 — Open the registration link. An attendee opens a Hub-specific link shared by Kinetics. The page is public and does not ask them to create an account.</w:t>
      </w:r>
    </w:p>
    <w:tbl>
      <w:tblPr>
        <w:tblW w:type="auto" w:w="0"/>
        <w:jc w:val="center"/>
        <w:tblLayout w:type="fixed"/>
        <w:tblLook w:firstColumn="1" w:firstRow="1" w:lastColumn="0" w:lastRow="0" w:noHBand="0" w:noVBand="1" w:val="04A0"/>
      </w:tblPr>
      <w:tblGrid>
        <w:gridCol w:w="5083"/>
        <w:gridCol w:w="5083"/>
      </w:tblGrid>
      <w:tr>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2" name="Picture 2"/>
                  <wp:cNvGraphicFramePr>
                    <a:graphicFrameLocks noChangeAspect="1"/>
                  </wp:cNvGraphicFramePr>
                  <a:graphic>
                    <a:graphicData uri="http://schemas.openxmlformats.org/drawingml/2006/picture">
                      <pic:pic>
                        <pic:nvPicPr>
                          <pic:cNvPr id="0" name="hub-registration-open.png"/>
                          <pic:cNvPicPr/>
                        </pic:nvPicPr>
                        <pic:blipFill>
                          <a:blip r:embed="rId9"/>
                          <a:stretch>
                            <a:fillRect/>
                          </a:stretch>
                        </pic:blipFill>
                        <pic:spPr>
                          <a:xfrm>
                            <a:off x="0" y="0"/>
                            <a:ext cx="2679191" cy="1860549"/>
                          </a:xfrm>
                          <a:prstGeom prst="rect"/>
                        </pic:spPr>
                      </pic:pic>
                    </a:graphicData>
                  </a:graphic>
                </wp:inline>
              </w:drawing>
            </w:r>
          </w:p>
          <w:p>
            <w:pPr>
              <w:jc w:val="center"/>
            </w:pPr>
            <w:r>
              <w:rPr>
                <w:i/>
                <w:color w:val="607069"/>
                <w:sz w:val="16"/>
              </w:rPr>
              <w:t>Open Hub registration form</w:t>
            </w:r>
          </w:p>
        </w:tc>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3" name="Picture 3"/>
                  <wp:cNvGraphicFramePr>
                    <a:graphicFrameLocks noChangeAspect="1"/>
                  </wp:cNvGraphicFramePr>
                  <a:graphic>
                    <a:graphicData uri="http://schemas.openxmlformats.org/drawingml/2006/picture">
                      <pic:pic>
                        <pic:nvPicPr>
                          <pic:cNvPr id="0" name="hub-registration-validation.png"/>
                          <pic:cNvPicPr/>
                        </pic:nvPicPr>
                        <pic:blipFill>
                          <a:blip r:embed="rId10"/>
                          <a:stretch>
                            <a:fillRect/>
                          </a:stretch>
                        </pic:blipFill>
                        <pic:spPr>
                          <a:xfrm>
                            <a:off x="0" y="0"/>
                            <a:ext cx="2679191" cy="1860549"/>
                          </a:xfrm>
                          <a:prstGeom prst="rect"/>
                        </pic:spPr>
                      </pic:pic>
                    </a:graphicData>
                  </a:graphic>
                </wp:inline>
              </w:drawing>
            </w:r>
          </w:p>
          <w:p>
            <w:pPr>
              <w:jc w:val="center"/>
            </w:pPr>
            <w:r>
              <w:rPr>
                <w:i/>
                <w:color w:val="607069"/>
                <w:sz w:val="16"/>
              </w:rPr>
              <w:t>Inline form validation</w:t>
            </w:r>
          </w:p>
        </w:tc>
      </w:tr>
    </w:tbl>
    <w:p/>
    <w:p>
      <w:pPr>
        <w:spacing w:after="120" w:line="269" w:lineRule="auto"/>
      </w:pPr>
      <w:r>
        <w:rPr>
          <w:rFonts w:ascii="Aptos" w:hAnsi="Aptos"/>
          <w:color w:val="17251F"/>
          <w:sz w:val="20"/>
        </w:rPr>
        <w:t>Step 2 — Submit interest. The attendee enters Full Name, Work Email, and optional Company, then selects Register Interest. Validation appears inline on the form; there is no popup.</w:t>
      </w:r>
    </w:p>
    <w:p>
      <w:pPr>
        <w:spacing w:after="120" w:line="269" w:lineRule="auto"/>
      </w:pPr>
      <w:r>
        <w:rPr>
          <w:rFonts w:ascii="Aptos" w:hAnsi="Aptos"/>
          <w:color w:val="17251F"/>
          <w:sz w:val="20"/>
        </w:rPr>
        <w:t>Step 3 — See confirmation. The success card confirms Interest Registered. The attendee is not signed in and no login link is sent at this stage.</w:t>
      </w:r>
    </w:p>
    <w:p>
      <w:pPr>
        <w:jc w:val="center"/>
      </w:pPr>
      <w:r>
        <w:drawing>
          <wp:inline xmlns:a="http://schemas.openxmlformats.org/drawingml/2006/main" xmlns:pic="http://schemas.openxmlformats.org/drawingml/2006/picture">
            <wp:extent cx="5303520" cy="3683000"/>
            <wp:docPr id="4" name="Picture 4"/>
            <wp:cNvGraphicFramePr>
              <a:graphicFrameLocks noChangeAspect="1"/>
            </wp:cNvGraphicFramePr>
            <a:graphic>
              <a:graphicData uri="http://schemas.openxmlformats.org/drawingml/2006/picture">
                <pic:pic>
                  <pic:nvPicPr>
                    <pic:cNvPr id="0" name="hub-registration-success.png"/>
                    <pic:cNvPicPr/>
                  </pic:nvPicPr>
                  <pic:blipFill>
                    <a:blip r:embed="rId11"/>
                    <a:stretch>
                      <a:fillRect/>
                    </a:stretch>
                  </pic:blipFill>
                  <pic:spPr>
                    <a:xfrm>
                      <a:off x="0" y="0"/>
                      <a:ext cx="5303520" cy="3683000"/>
                    </a:xfrm>
                    <a:prstGeom prst="rect"/>
                  </pic:spPr>
                </pic:pic>
              </a:graphicData>
            </a:graphic>
          </wp:inline>
        </w:drawing>
      </w:r>
    </w:p>
    <w:p>
      <w:pPr>
        <w:spacing w:after="160"/>
        <w:jc w:val="center"/>
      </w:pPr>
      <w:r>
        <w:rPr>
          <w:rFonts w:ascii="Aptos" w:hAnsi="Aptos"/>
          <w:i/>
          <w:color w:val="607069"/>
          <w:sz w:val="16"/>
        </w:rPr>
        <w:t>Registration confirmation</w:t>
      </w:r>
    </w:p>
    <w:p>
      <w:pPr>
        <w:spacing w:after="120" w:line="269" w:lineRule="auto"/>
      </w:pPr>
      <w:r>
        <w:rPr>
          <w:rFonts w:ascii="Aptos" w:hAnsi="Aptos"/>
          <w:color w:val="17251F"/>
          <w:sz w:val="20"/>
        </w:rPr>
        <w:t>What happens next: the submission stays in the Hub’s pending Public Registrations queue. When the Hub is ready, an administrator can promote the person into a meeting and send the meeting invitation.</w:t>
      </w:r>
    </w:p>
    <w:p>
      <w:pPr>
        <w:pStyle w:val="Heading1"/>
        <w:spacing w:before="280" w:after="100"/>
      </w:pPr>
      <w:r>
        <w:rPr>
          <w:rFonts w:ascii="Aptos Display" w:hAnsi="Aptos Display"/>
          <w:color w:val="0D4630"/>
        </w:rPr>
        <w:t>3. Hub meeting invitation and attendee workspace</w:t>
      </w:r>
    </w:p>
    <w:p>
      <w:pPr>
        <w:spacing w:after="120" w:line="269" w:lineRule="auto"/>
      </w:pPr>
      <w:r>
        <w:rPr>
          <w:rFonts w:ascii="Aptos" w:hAnsi="Aptos"/>
          <w:color w:val="17251F"/>
          <w:sz w:val="20"/>
        </w:rPr>
        <w:t>Step 4 — Respond to the meeting invitation. Once invited to a recurring meeting, the attendee receives a personalised RSVP link. The response page is still no-login: the secure token in the link identifies the invitee.</w:t>
      </w:r>
    </w:p>
    <w:tbl>
      <w:tblPr>
        <w:tblW w:type="auto" w:w="0"/>
        <w:jc w:val="center"/>
        <w:tblLayout w:type="fixed"/>
        <w:tblLook w:firstColumn="1" w:firstRow="1" w:lastColumn="0" w:lastRow="0" w:noHBand="0" w:noVBand="1" w:val="04A0"/>
      </w:tblPr>
      <w:tblGrid>
        <w:gridCol w:w="5083"/>
        <w:gridCol w:w="5083"/>
      </w:tblGrid>
      <w:tr>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5" name="Picture 5"/>
                  <wp:cNvGraphicFramePr>
                    <a:graphicFrameLocks noChangeAspect="1"/>
                  </wp:cNvGraphicFramePr>
                  <a:graphic>
                    <a:graphicData uri="http://schemas.openxmlformats.org/drawingml/2006/picture">
                      <pic:pic>
                        <pic:nvPicPr>
                          <pic:cNvPr id="0" name="recurring-rsvp.png"/>
                          <pic:cNvPicPr/>
                        </pic:nvPicPr>
                        <pic:blipFill>
                          <a:blip r:embed="rId12"/>
                          <a:stretch>
                            <a:fillRect/>
                          </a:stretch>
                        </pic:blipFill>
                        <pic:spPr>
                          <a:xfrm>
                            <a:off x="0" y="0"/>
                            <a:ext cx="2679191" cy="1860549"/>
                          </a:xfrm>
                          <a:prstGeom prst="rect"/>
                        </pic:spPr>
                      </pic:pic>
                    </a:graphicData>
                  </a:graphic>
                </wp:inline>
              </w:drawing>
            </w:r>
          </w:p>
          <w:p>
            <w:pPr>
              <w:jc w:val="center"/>
            </w:pPr>
            <w:r>
              <w:rPr>
                <w:i/>
                <w:color w:val="607069"/>
                <w:sz w:val="16"/>
              </w:rPr>
              <w:t>Recurring meeting invitation</w:t>
            </w:r>
          </w:p>
        </w:tc>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6" name="Picture 6"/>
                  <wp:cNvGraphicFramePr>
                    <a:graphicFrameLocks noChangeAspect="1"/>
                  </wp:cNvGraphicFramePr>
                  <a:graphic>
                    <a:graphicData uri="http://schemas.openxmlformats.org/drawingml/2006/picture">
                      <pic:pic>
                        <pic:nvPicPr>
                          <pic:cNvPr id="0" name="recurring-rsvp-attending.png"/>
                          <pic:cNvPicPr/>
                        </pic:nvPicPr>
                        <pic:blipFill>
                          <a:blip r:embed="rId13"/>
                          <a:stretch>
                            <a:fillRect/>
                          </a:stretch>
                        </pic:blipFill>
                        <pic:spPr>
                          <a:xfrm>
                            <a:off x="0" y="0"/>
                            <a:ext cx="2679191" cy="1860549"/>
                          </a:xfrm>
                          <a:prstGeom prst="rect"/>
                        </pic:spPr>
                      </pic:pic>
                    </a:graphicData>
                  </a:graphic>
                </wp:inline>
              </w:drawing>
            </w:r>
          </w:p>
          <w:p>
            <w:pPr>
              <w:jc w:val="center"/>
            </w:pPr>
            <w:r>
              <w:rPr>
                <w:i/>
                <w:color w:val="607069"/>
                <w:sz w:val="16"/>
              </w:rPr>
              <w:t>Recurring RSVP after attending</w:t>
            </w:r>
          </w:p>
        </w:tc>
      </w:tr>
    </w:tbl>
    <w:p/>
    <w:p>
      <w:pPr>
        <w:spacing w:after="120" w:line="269" w:lineRule="auto"/>
      </w:pPr>
      <w:r>
        <w:rPr>
          <w:rFonts w:ascii="Aptos" w:hAnsi="Aptos"/>
          <w:color w:val="17251F"/>
          <w:sz w:val="20"/>
        </w:rPr>
        <w:t>The attendee chooses I’ll be there or Can’t make it. The page saves the response, updates the status banner, and allows the attendee to change their response later using the same link.</w:t>
      </w:r>
    </w:p>
    <w:p>
      <w:pPr>
        <w:spacing w:after="120" w:line="269" w:lineRule="auto"/>
      </w:pPr>
      <w:r>
        <w:rPr>
          <w:rFonts w:ascii="Aptos" w:hAnsi="Aptos"/>
          <w:color w:val="17251F"/>
          <w:sz w:val="20"/>
        </w:rPr>
        <w:t>Step 5 — Optional sign-in for the full Hub workspace. The attendee can sign in through the magic-link page to access their recurring Hub workspace, including meetings, goals, suggestions, and invitations.</w:t>
      </w:r>
    </w:p>
    <w:tbl>
      <w:tblPr>
        <w:tblW w:type="auto" w:w="0"/>
        <w:jc w:val="center"/>
        <w:tblLayout w:type="fixed"/>
        <w:tblLook w:firstColumn="1" w:firstRow="1" w:lastColumn="0" w:lastRow="0" w:noHBand="0" w:noVBand="1" w:val="04A0"/>
      </w:tblPr>
      <w:tblGrid>
        <w:gridCol w:w="5083"/>
        <w:gridCol w:w="5083"/>
      </w:tblGrid>
      <w:tr>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7" name="Picture 7"/>
                  <wp:cNvGraphicFramePr>
                    <a:graphicFrameLocks noChangeAspect="1"/>
                  </wp:cNvGraphicFramePr>
                  <a:graphic>
                    <a:graphicData uri="http://schemas.openxmlformats.org/drawingml/2006/picture">
                      <pic:pic>
                        <pic:nvPicPr>
                          <pic:cNvPr id="0" name="login-page.png"/>
                          <pic:cNvPicPr/>
                        </pic:nvPicPr>
                        <pic:blipFill>
                          <a:blip r:embed="rId14"/>
                          <a:stretch>
                            <a:fillRect/>
                          </a:stretch>
                        </pic:blipFill>
                        <pic:spPr>
                          <a:xfrm>
                            <a:off x="0" y="0"/>
                            <a:ext cx="2679191" cy="1860549"/>
                          </a:xfrm>
                          <a:prstGeom prst="rect"/>
                        </pic:spPr>
                      </pic:pic>
                    </a:graphicData>
                  </a:graphic>
                </wp:inline>
              </w:drawing>
            </w:r>
          </w:p>
          <w:p>
            <w:pPr>
              <w:jc w:val="center"/>
            </w:pPr>
            <w:r>
              <w:rPr>
                <w:i/>
                <w:color w:val="607069"/>
                <w:sz w:val="16"/>
              </w:rPr>
              <w:t>Magic-link sign-in page</w:t>
            </w:r>
          </w:p>
        </w:tc>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8" name="Picture 8"/>
                  <wp:cNvGraphicFramePr>
                    <a:graphicFrameLocks noChangeAspect="1"/>
                  </wp:cNvGraphicFramePr>
                  <a:graphic>
                    <a:graphicData uri="http://schemas.openxmlformats.org/drawingml/2006/picture">
                      <pic:pic>
                        <pic:nvPicPr>
                          <pic:cNvPr id="0" name="attendee-goal-dialog.png"/>
                          <pic:cNvPicPr/>
                        </pic:nvPicPr>
                        <pic:blipFill>
                          <a:blip r:embed="rId15"/>
                          <a:stretch>
                            <a:fillRect/>
                          </a:stretch>
                        </pic:blipFill>
                        <pic:spPr>
                          <a:xfrm>
                            <a:off x="0" y="0"/>
                            <a:ext cx="2679191" cy="1860549"/>
                          </a:xfrm>
                          <a:prstGeom prst="rect"/>
                        </pic:spPr>
                      </pic:pic>
                    </a:graphicData>
                  </a:graphic>
                </wp:inline>
              </w:drawing>
            </w:r>
          </w:p>
          <w:p>
            <w:pPr>
              <w:jc w:val="center"/>
            </w:pPr>
            <w:r>
              <w:rPr>
                <w:i/>
                <w:color w:val="607069"/>
                <w:sz w:val="16"/>
              </w:rPr>
              <w:t>Attendee workspace: Create Goal dialog</w:t>
            </w:r>
          </w:p>
        </w:tc>
      </w:tr>
    </w:tbl>
    <w:p/>
    <w:p>
      <w:pPr>
        <w:spacing w:after="120" w:line="269" w:lineRule="auto"/>
      </w:pPr>
      <w:r>
        <w:rPr>
          <w:rFonts w:ascii="Aptos" w:hAnsi="Aptos"/>
          <w:color w:val="17251F"/>
          <w:sz w:val="20"/>
        </w:rPr>
        <w:t>Popup/dialog note: the Create Goal dialog is an authenticated workspace interaction. The public registration and RSVP flows use full-page cards and inline feedback rather than modal popups.</w:t>
      </w:r>
    </w:p>
    <w:p>
      <w:pPr>
        <w:pStyle w:val="Heading1"/>
        <w:spacing w:before="280" w:after="100"/>
      </w:pPr>
      <w:r>
        <w:rPr>
          <w:rFonts w:ascii="Aptos Display" w:hAnsi="Aptos Display"/>
          <w:color w:val="0D4630"/>
        </w:rPr>
        <w:t>4. One-Off event flow</w:t>
      </w:r>
    </w:p>
    <w:p>
      <w:pPr>
        <w:spacing w:after="120" w:line="269" w:lineRule="auto"/>
      </w:pPr>
      <w:r>
        <w:rPr>
          <w:rFonts w:ascii="Aptos" w:hAnsi="Aptos"/>
          <w:color w:val="17251F"/>
          <w:sz w:val="20"/>
        </w:rPr>
        <w:t>Step 1 — Open the direct invitation. A One-Off attendee receives a private, personalised link. There is no public Hub registration form and no login requirement.</w:t>
      </w:r>
    </w:p>
    <w:tbl>
      <w:tblPr>
        <w:tblW w:type="auto" w:w="0"/>
        <w:jc w:val="center"/>
        <w:tblLayout w:type="fixed"/>
        <w:tblLook w:firstColumn="1" w:firstRow="1" w:lastColumn="0" w:lastRow="0" w:noHBand="0" w:noVBand="1" w:val="04A0"/>
      </w:tblPr>
      <w:tblGrid>
        <w:gridCol w:w="5083"/>
        <w:gridCol w:w="5083"/>
      </w:tblGrid>
      <w:tr>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9" name="Picture 9"/>
                  <wp:cNvGraphicFramePr>
                    <a:graphicFrameLocks noChangeAspect="1"/>
                  </wp:cNvGraphicFramePr>
                  <a:graphic>
                    <a:graphicData uri="http://schemas.openxmlformats.org/drawingml/2006/picture">
                      <pic:pic>
                        <pic:nvPicPr>
                          <pic:cNvPr id="0" name="one-off-rsvp.png"/>
                          <pic:cNvPicPr/>
                        </pic:nvPicPr>
                        <pic:blipFill>
                          <a:blip r:embed="rId16"/>
                          <a:stretch>
                            <a:fillRect/>
                          </a:stretch>
                        </pic:blipFill>
                        <pic:spPr>
                          <a:xfrm>
                            <a:off x="0" y="0"/>
                            <a:ext cx="2679191" cy="1860549"/>
                          </a:xfrm>
                          <a:prstGeom prst="rect"/>
                        </pic:spPr>
                      </pic:pic>
                    </a:graphicData>
                  </a:graphic>
                </wp:inline>
              </w:drawing>
            </w:r>
          </w:p>
          <w:p>
            <w:pPr>
              <w:jc w:val="center"/>
            </w:pPr>
            <w:r>
              <w:rPr>
                <w:i/>
                <w:color w:val="607069"/>
                <w:sz w:val="16"/>
              </w:rPr>
              <w:t>One-Off invitation and RSVP</w:t>
            </w:r>
          </w:p>
        </w:tc>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2679191" cy="1860549"/>
                  <wp:docPr id="10" name="Picture 10"/>
                  <wp:cNvGraphicFramePr>
                    <a:graphicFrameLocks noChangeAspect="1"/>
                  </wp:cNvGraphicFramePr>
                  <a:graphic>
                    <a:graphicData uri="http://schemas.openxmlformats.org/drawingml/2006/picture">
                      <pic:pic>
                        <pic:nvPicPr>
                          <pic:cNvPr id="0" name="one-off-rsvp-attending.png"/>
                          <pic:cNvPicPr/>
                        </pic:nvPicPr>
                        <pic:blipFill>
                          <a:blip r:embed="rId17"/>
                          <a:stretch>
                            <a:fillRect/>
                          </a:stretch>
                        </pic:blipFill>
                        <pic:spPr>
                          <a:xfrm>
                            <a:off x="0" y="0"/>
                            <a:ext cx="2679191" cy="1860549"/>
                          </a:xfrm>
                          <a:prstGeom prst="rect"/>
                        </pic:spPr>
                      </pic:pic>
                    </a:graphicData>
                  </a:graphic>
                </wp:inline>
              </w:drawing>
            </w:r>
          </w:p>
          <w:p>
            <w:pPr>
              <w:jc w:val="center"/>
            </w:pPr>
            <w:r>
              <w:rPr>
                <w:i/>
                <w:color w:val="607069"/>
                <w:sz w:val="16"/>
              </w:rPr>
              <w:t>One-Off RSVP after attending</w:t>
            </w:r>
          </w:p>
        </w:tc>
      </w:tr>
    </w:tbl>
    <w:p/>
    <w:p>
      <w:pPr>
        <w:spacing w:after="120" w:line="269" w:lineRule="auto"/>
      </w:pPr>
      <w:r>
        <w:rPr>
          <w:rFonts w:ascii="Aptos" w:hAnsi="Aptos"/>
          <w:color w:val="17251F"/>
          <w:sz w:val="20"/>
        </w:rPr>
        <w:t>Step 2 — Read the invitation and respond. The page shows the event name, date, any invitation message, and the same two RSVP choices. After submitting, the response banner confirms Attending or Not Attending.</w:t>
      </w:r>
    </w:p>
    <w:p>
      <w:pPr>
        <w:spacing w:after="120" w:line="269" w:lineRule="auto"/>
      </w:pPr>
      <w:r>
        <w:rPr>
          <w:rFonts w:ascii="Aptos" w:hAnsi="Aptos"/>
          <w:color w:val="17251F"/>
          <w:sz w:val="20"/>
        </w:rPr>
        <w:t>One-Off boundary: the attendee does not receive an automatic sign-in link. The token-only RSVP page is the intended experience for the event.</w:t>
      </w:r>
    </w:p>
    <w:p>
      <w:pPr>
        <w:pStyle w:val="Heading1"/>
        <w:spacing w:before="280" w:after="100"/>
      </w:pPr>
      <w:r>
        <w:rPr>
          <w:rFonts w:ascii="Aptos Display" w:hAnsi="Aptos Display"/>
          <w:color w:val="0D4630"/>
        </w:rPr>
        <w:t>5. Mobile experience</w:t>
      </w:r>
    </w:p>
    <w:p>
      <w:pPr>
        <w:spacing w:after="120" w:line="269" w:lineRule="auto"/>
      </w:pPr>
      <w:r>
        <w:rPr>
          <w:rFonts w:ascii="Aptos" w:hAnsi="Aptos"/>
          <w:color w:val="17251F"/>
          <w:sz w:val="20"/>
        </w:rPr>
        <w:t>Both public entry points are designed for links opened from email on a phone. Cards remain centred, fields remain full width, and RSVP actions stack vertically for easy tapping.</w:t>
      </w:r>
    </w:p>
    <w:tbl>
      <w:tblPr>
        <w:tblW w:type="auto" w:w="0"/>
        <w:jc w:val="center"/>
        <w:tblLayout w:type="fixed"/>
        <w:tblLook w:firstColumn="1" w:firstRow="1" w:lastColumn="0" w:lastRow="0" w:noHBand="0" w:noVBand="1" w:val="04A0"/>
      </w:tblPr>
      <w:tblGrid>
        <w:gridCol w:w="5083"/>
        <w:gridCol w:w="5083"/>
      </w:tblGrid>
      <w:tr>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1753502" cy="3794760"/>
                  <wp:docPr id="11" name="Picture 11"/>
                  <wp:cNvGraphicFramePr>
                    <a:graphicFrameLocks noChangeAspect="1"/>
                  </wp:cNvGraphicFramePr>
                  <a:graphic>
                    <a:graphicData uri="http://schemas.openxmlformats.org/drawingml/2006/picture">
                      <pic:pic>
                        <pic:nvPicPr>
                          <pic:cNvPr id="0" name="mobile-hub-registration.png"/>
                          <pic:cNvPicPr/>
                        </pic:nvPicPr>
                        <pic:blipFill>
                          <a:blip r:embed="rId18"/>
                          <a:stretch>
                            <a:fillRect/>
                          </a:stretch>
                        </pic:blipFill>
                        <pic:spPr>
                          <a:xfrm>
                            <a:off x="0" y="0"/>
                            <a:ext cx="1753502" cy="3794760"/>
                          </a:xfrm>
                          <a:prstGeom prst="rect"/>
                        </pic:spPr>
                      </pic:pic>
                    </a:graphicData>
                  </a:graphic>
                </wp:inline>
              </w:drawing>
            </w:r>
          </w:p>
          <w:p>
            <w:pPr>
              <w:jc w:val="center"/>
            </w:pPr>
            <w:r>
              <w:rPr>
                <w:i/>
                <w:color w:val="607069"/>
                <w:sz w:val="16"/>
              </w:rPr>
              <w:t>Hub registration on mobile</w:t>
            </w:r>
          </w:p>
        </w:tc>
        <w:tc>
          <w:tcPr>
            <w:tcW w:type="dxa" w:w="4392"/>
            <w:vAlign w:val="top"/>
            <w:tcBorders>
              <w:top w:val="single" w:sz="5" w:color="dbe6df"/>
              <w:left w:val="single" w:sz="5" w:color="dbe6df"/>
              <w:bottom w:val="single" w:sz="5" w:color="dbe6df"/>
              <w:right w:val="single" w:sz="5" w:color="dbe6df"/>
            </w:tcBorders>
          </w:tcPr>
          <w:p>
            <w:pPr>
              <w:jc w:val="center"/>
            </w:pPr>
            <w:r>
              <w:drawing>
                <wp:inline xmlns:a="http://schemas.openxmlformats.org/drawingml/2006/main" xmlns:pic="http://schemas.openxmlformats.org/drawingml/2006/picture">
                  <wp:extent cx="1753502" cy="3794760"/>
                  <wp:docPr id="12" name="Picture 12"/>
                  <wp:cNvGraphicFramePr>
                    <a:graphicFrameLocks noChangeAspect="1"/>
                  </wp:cNvGraphicFramePr>
                  <a:graphic>
                    <a:graphicData uri="http://schemas.openxmlformats.org/drawingml/2006/picture">
                      <pic:pic>
                        <pic:nvPicPr>
                          <pic:cNvPr id="0" name="mobile-one-off-rsvp.png"/>
                          <pic:cNvPicPr/>
                        </pic:nvPicPr>
                        <pic:blipFill>
                          <a:blip r:embed="rId19"/>
                          <a:stretch>
                            <a:fillRect/>
                          </a:stretch>
                        </pic:blipFill>
                        <pic:spPr>
                          <a:xfrm>
                            <a:off x="0" y="0"/>
                            <a:ext cx="1753502" cy="3794760"/>
                          </a:xfrm>
                          <a:prstGeom prst="rect"/>
                        </pic:spPr>
                      </pic:pic>
                    </a:graphicData>
                  </a:graphic>
                </wp:inline>
              </w:drawing>
            </w:r>
          </w:p>
          <w:p>
            <w:pPr>
              <w:jc w:val="center"/>
            </w:pPr>
            <w:r>
              <w:rPr>
                <w:i/>
                <w:color w:val="607069"/>
                <w:sz w:val="16"/>
              </w:rPr>
              <w:t>One-Off RSVP on mobile</w:t>
            </w:r>
          </w:p>
        </w:tc>
      </w:tr>
    </w:tbl>
    <w:p/>
    <w:p>
      <w:pPr>
        <w:pStyle w:val="Heading1"/>
        <w:spacing w:before="280" w:after="100"/>
      </w:pPr>
      <w:r>
        <w:rPr>
          <w:rFonts w:ascii="Aptos Display" w:hAnsi="Aptos Display"/>
          <w:color w:val="0D4630"/>
        </w:rPr>
        <w:t>6. Popup and feedback summary</w:t>
      </w:r>
    </w:p>
    <w:p>
      <w:pPr>
        <w:pStyle w:val="ListBullet"/>
        <w:spacing w:after="60"/>
      </w:pPr>
      <w:r>
        <w:rPr>
          <w:rFonts w:ascii="Aptos" w:hAnsi="Aptos"/>
          <w:color w:val="17251F"/>
          <w:sz w:val="20"/>
        </w:rPr>
        <w:t>Hub registration: no popup; inline required-field validation and a dedicated Interest Registered confirmation card.</w:t>
      </w:r>
    </w:p>
    <w:p>
      <w:pPr>
        <w:pStyle w:val="ListBullet"/>
        <w:spacing w:after="60"/>
      </w:pPr>
      <w:r>
        <w:rPr>
          <w:rFonts w:ascii="Aptos" w:hAnsi="Aptos"/>
          <w:color w:val="17251F"/>
          <w:sz w:val="20"/>
        </w:rPr>
        <w:t>Recurring RSVP: no popup; selected response state, Saving your response… progress text, and a saved-response banner.</w:t>
      </w:r>
    </w:p>
    <w:p>
      <w:pPr>
        <w:pStyle w:val="ListBullet"/>
        <w:spacing w:after="60"/>
      </w:pPr>
      <w:r>
        <w:rPr>
          <w:rFonts w:ascii="Aptos" w:hAnsi="Aptos"/>
          <w:color w:val="17251F"/>
          <w:sz w:val="20"/>
        </w:rPr>
        <w:t>One-Off RSVP: no popup; selected response state and a saved-response banner.</w:t>
      </w:r>
    </w:p>
    <w:p>
      <w:pPr>
        <w:pStyle w:val="ListBullet"/>
        <w:spacing w:after="60"/>
      </w:pPr>
      <w:r>
        <w:rPr>
          <w:rFonts w:ascii="Aptos" w:hAnsi="Aptos"/>
          <w:color w:val="17251F"/>
          <w:sz w:val="20"/>
        </w:rPr>
        <w:t>Magic-link sign-in: no popup; the page changes to a Check your inbox confirmation state.</w:t>
      </w:r>
    </w:p>
    <w:p>
      <w:pPr>
        <w:pStyle w:val="ListBullet"/>
        <w:spacing w:after="60"/>
      </w:pPr>
      <w:r>
        <w:rPr>
          <w:rFonts w:ascii="Aptos" w:hAnsi="Aptos"/>
          <w:color w:val="17251F"/>
          <w:sz w:val="20"/>
        </w:rPr>
        <w:t>Authenticated attendee workspace: modal dialogs are used for actions such as Create Goal.</w:t>
      </w:r>
    </w:p>
    <w:p>
      <w:pPr>
        <w:pStyle w:val="ListBullet"/>
        <w:spacing w:after="60"/>
      </w:pPr>
      <w:r>
        <w:rPr>
          <w:rFonts w:ascii="Aptos" w:hAnsi="Aptos"/>
          <w:color w:val="17251F"/>
          <w:sz w:val="20"/>
        </w:rPr>
        <w:t>Invalid or expired links: a dedicated unavailable card explains that the link can no longer be used.</w:t>
      </w:r>
    </w:p>
    <w:sectPr w:rsidR="00FC693F" w:rsidRPr="0006063C" w:rsidSect="00034616">
      <w:footerReference w:type="default" r:id="rId20"/>
      <w:pgSz w:w="12240" w:h="15840"/>
      <w:pgMar w:top="864"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069"/>
        <w:sz w:val="16"/>
      </w:rPr>
      <w:t>Kinetics Group Innovation Hubs  •  Attendee experience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5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