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bvzw06mspvbs" w:id="0"/>
      <w:bookmarkEnd w:id="0"/>
      <w:r w:rsidDel="00000000" w:rsidR="00000000" w:rsidRPr="00000000">
        <w:rPr>
          <w:rtl w:val="0"/>
        </w:rPr>
        <w:t xml:space="preserve">Coach Inputs (Updated Master List)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hb8duru40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Program Name (Team Name)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Body: NCAA / NAIA / NJCAA / CCCAA (3C2A) / USCAA / NCCAA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Division (if applicable):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NCAA: D1 / D2 / D3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NJCAA: D1 / D2 / D3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NCCAA: D1 / D2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NCAA D1 Major Class (only if NCAA D1): High-Major / Mid-Major / Low-Major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Selection (College): Offensive System + Defensive System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q6ll83n7x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Optional (Metadata)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Conference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gfy3qpesm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Optional (Resources + Constraints — downstream only)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Scholarships Available (can reduce from preloaded max; cannot exceed)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NIL Pool (defaults to $0)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9) Institutional / Merit Aid Capacity (avg package $ or band)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10) Need-Based Aid Availability (band)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11) Operating Budget (annual $)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12) Recruiting Budget (annual $)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13) Roster Size Target (e.g., 13–18)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14) Staffing Capacity Band (Lean / Standard / Elite)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