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mn5pmmcz161" w:id="0"/>
      <w:bookmarkEnd w:id="0"/>
      <w:r w:rsidDel="00000000" w:rsidR="00000000" w:rsidRPr="00000000">
        <w:rPr>
          <w:rtl w:val="0"/>
        </w:rPr>
        <w:t xml:space="preserve">Full confidence table (locked ranges)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9.345794392523"/>
        <w:gridCol w:w="2322.9906542056074"/>
        <w:gridCol w:w="1987.663551401869"/>
        <w:tblGridChange w:id="0">
          <w:tblGrid>
            <w:gridCol w:w="5049.345794392523"/>
            <w:gridCol w:w="2322.9906542056074"/>
            <w:gridCol w:w="1987.66355140186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Production-based KR confidence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Player KR confidence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Official college stats only (league/team box scores),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80–85%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35–55%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Official college stats + HS stats (MaxPreps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82–88%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40–60%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Multi-year across levels (NJCAA→NAIA/NCAA,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85–90%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45–65%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 Synergy + official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85–92%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65–80%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Multi-year Synergy + official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90–95%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75–88%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 PlayVision + official stats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(assume same PPP/play-type/shot-type fidelity as Synergy)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85–92%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65–80%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Multi-year PlayVision + official stats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(same assumption)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90–95%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75–88%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ahd4tgkk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Gate (Percentage) — Locked Doc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20n3wkk6kmwx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Confidence% is a single number that communicates </w:t>
      </w:r>
      <w:r w:rsidDel="00000000" w:rsidR="00000000" w:rsidRPr="00000000">
        <w:rPr>
          <w:b w:val="1"/>
          <w:bCs w:val="1"/>
          <w:rtl w:val="0"/>
        </w:rPr>
        <w:t xml:space="preserve">evidence completeness + stability</w:t>
      </w:r>
      <w:r w:rsidDel="00000000" w:rsidR="00000000" w:rsidRPr="00000000">
        <w:rPr>
          <w:rtl w:val="0"/>
        </w:rPr>
        <w:t xml:space="preserve"> for the evaluation.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uvhhf4lyxha3" w:id="3"/>
      <w:bookmarkEnd w:id="3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confidence_pct ∈ [0,100]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 </w:t>
      </w:r>
      <w:r w:rsidDel="00000000" w:rsidR="00000000" w:rsidRPr="00000000">
        <w:rPr>
          <w:b w:val="1"/>
          <w:bCs w:val="1"/>
          <w:rtl w:val="0"/>
        </w:rPr>
        <w:t xml:space="preserve">at the end</w:t>
      </w:r>
      <w:r w:rsidDel="00000000" w:rsidR="00000000" w:rsidRPr="00000000">
        <w:rPr>
          <w:rtl w:val="0"/>
        </w:rPr>
        <w:t xml:space="preserve"> of player evaluation.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/>
      </w:pPr>
      <w:bookmarkStart w:colFirst="0" w:colLast="0" w:name="_jgfspfhwoo4w" w:id="4"/>
      <w:bookmarkEnd w:id="4"/>
      <w:r w:rsidDel="00000000" w:rsidR="00000000" w:rsidRPr="00000000">
        <w:rPr>
          <w:rtl w:val="0"/>
        </w:rPr>
        <w:t xml:space="preserve">What it affects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Confidence% </w:t>
      </w:r>
      <w:r w:rsidDel="00000000" w:rsidR="00000000" w:rsidRPr="00000000">
        <w:rPr>
          <w:b w:val="1"/>
          <w:bCs w:val="1"/>
          <w:rtl w:val="0"/>
        </w:rPr>
        <w:t xml:space="preserve">does not change</w:t>
      </w:r>
      <w:r w:rsidDel="00000000" w:rsidR="00000000" w:rsidRPr="00000000">
        <w:rPr>
          <w:rtl w:val="0"/>
        </w:rPr>
        <w:t xml:space="preserve"> any KR math.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Confidence% is used for transparency and (optionally) gating what the system is allowed to claim or trigger.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n4zjzkr2bh9" w:id="5"/>
      <w:bookmarkEnd w:id="5"/>
      <w:r w:rsidDel="00000000" w:rsidR="00000000" w:rsidRPr="00000000">
        <w:rPr>
          <w:rtl w:val="0"/>
        </w:rPr>
        <w:t xml:space="preserve">Default confidence ranges (by data availability)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table above as the default confidence mapping for: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Production-based KR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Player KR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