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v74xh73t1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Confidence Gate — Full Confidence Table (Locked Ranges)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41.310452418097"/>
        <w:gridCol w:w="1727.9251170046803"/>
        <w:gridCol w:w="1990.7644305772233"/>
        <w:tblGridChange w:id="0">
          <w:tblGrid>
            <w:gridCol w:w="5641.310452418097"/>
            <w:gridCol w:w="1727.9251170046803"/>
            <w:gridCol w:w="1990.764430577223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KR confidence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Coverage confidence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Official college stats only (league/team box scores) for players + official rotation minutes, multi-year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80–88%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55–70%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Official college stats + HS stats (MaxPreps etc.) + official rotation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82–90%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60–75%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Multi-year across levels (NJCAA→NAIA/NCAA, etc.) + official rotation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85–92%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65–80%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 year Synergy + official stats + official rotation minutes (starters mostly Full)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88–94%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75–88%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Multi-year Synergy + official stats + official rotation minutes (rotation mostly Full)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92–97%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85–95%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 year PlayVision + official stats + official rotation minutes (assume same PPP/play-type/shot-type fidelity as Synergy)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88–94%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75–88%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Multi-year PlayVision + official stats + official rotation minutes (same assumption)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92–97%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85–95%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43s65od5x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Confidence Gate (Percentage) — Locked Doc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Confidence% is a single number that communicates evidence completeness + stability for the team evaluation.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team_kr_confidence_pct ∈ [0,100]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coverage_confidence_pct ∈ [0,100]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Computed at the end</w:t>
      </w:r>
      <w:r w:rsidDel="00000000" w:rsidR="00000000" w:rsidRPr="00000000">
        <w:rPr>
          <w:rtl w:val="0"/>
        </w:rPr>
        <w:t xml:space="preserve"> of team evaluation.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affects</w:t>
        <w:br w:type="textWrapping"/>
      </w:r>
      <w:r w:rsidDel="00000000" w:rsidR="00000000" w:rsidRPr="00000000">
        <w:rPr>
          <w:rtl w:val="0"/>
        </w:rPr>
        <w:t xml:space="preserve">Confidence% does not change any Team KR math.</w:t>
        <w:br w:type="textWrapping"/>
        <w:t xml:space="preserve">Confidence% is used for transparency and (optionally) gating what the system is allowed to claim or trigger.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Default confidence ranges (by data availability)</w:t>
        <w:br w:type="textWrapping"/>
      </w:r>
      <w:r w:rsidDel="00000000" w:rsidR="00000000" w:rsidRPr="00000000">
        <w:rPr>
          <w:rtl w:val="0"/>
        </w:rPr>
        <w:t xml:space="preserve">Use the table above as the default confidence mapping for: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KR confidence %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Coverage confidence 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