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5jjof0wb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Postgame Confidence Gate (Percentage) — Locked Table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available (postgame)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Postgame Confidence % (default range)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V1 Stats-only: final box + team totals + basic splits (no film, no play tags)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55–70%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V1 Stats-only + manual staff tags (timeouts/key actions logged)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60–75%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 Granular (Synergy-level): play types + shot profile + efficiencies (no owned film clips)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70–85%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 Granular + multi-game trend context (same opponent/system)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75–88%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V3 Film-Verified: owned film processed + full tag log + clip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82–92%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V3 Film-Verified + high completeness: accurate stints/lineups + ≥10 “teaching clips” tied to tags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88–96%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arakiekpbyi" w:id="1"/>
      <w:bookmarkEnd w:id="1"/>
      <w:r w:rsidDel="00000000" w:rsidR="00000000" w:rsidRPr="00000000">
        <w:rPr>
          <w:rtl w:val="0"/>
        </w:rPr>
        <w:t xml:space="preserve">Postgame Confidence Adjusters (apply within the chosen range)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 completeness low (missing large chunks of actions/coverages) → downshift 5–10 pts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Lineup/stint accuracy weak → downshift 5–10 pts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Opponent identity ambiguity (OSIE/DSIE not locked) → downshift 5–10 pts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 rotation + clear identity + high film coverage → upshift toward top of range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