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52"/>
        </w:rPr>
        <w:t>DPAT Report Source &amp; Brand Guide</w:t>
      </w:r>
    </w:p>
    <w:p>
      <w:pPr>
        <w:pStyle w:val="Subtitle"/>
        <w:spacing w:after="200"/>
      </w:pPr>
      <w:r>
        <w:rPr>
          <w:rFonts w:ascii="Arial" w:hAnsi="Arial"/>
          <w:color w:val="505050"/>
          <w:sz w:val="22"/>
        </w:rPr>
        <w:t>Editable source file for rebuilding, correcting, or handing off DPAT report layouts without patchwork PDF edits.</w:t>
      </w:r>
    </w:p>
    <w:p>
      <w:pPr>
        <w:pStyle w:val="Heading1"/>
      </w:pPr>
      <w:r>
        <w:rPr>
          <w:rFonts w:ascii="Arial" w:hAnsi="Arial"/>
        </w:rPr>
        <w:t>Purpose</w:t>
      </w:r>
    </w:p>
    <w:p>
      <w:r>
        <w:t>Use this document as the editable source guide when creating or updating DPAT reports. It defines the report branding, color logic, layout structure, typography, spacing, and data rules so future PDF exports stay consistent.</w:t>
      </w:r>
    </w:p>
    <w:p>
      <w:pPr>
        <w:pStyle w:val="Heading1"/>
      </w:pPr>
      <w:r>
        <w:t>DPAT Folder Structure for Future Edits</w:t>
      </w:r>
    </w:p>
    <w:p>
      <w:pPr>
        <w:pStyle w:val="ListBullet"/>
        <w:spacing w:after="40"/>
      </w:pPr>
      <w:r>
        <w:t>codex-design/season-total-stats-report: brief, brand guide, layout breakdown, current reference PDF, screenshot, and instructions.</w:t>
      </w:r>
    </w:p>
    <w:p>
      <w:pPr>
        <w:pStyle w:val="ListBullet"/>
        <w:spacing w:after="40"/>
      </w:pPr>
      <w:r>
        <w:t>source-data/season-total-stats-report: source workbook and reference CSV used for extraction.</w:t>
      </w:r>
    </w:p>
    <w:p>
      <w:pPr>
        <w:pStyle w:val="ListBullet"/>
        <w:spacing w:after="40"/>
      </w:pPr>
      <w:r>
        <w:t>report-designs/season-total-stats-report: editable HTML/CSS/JS, extracted data, render script, extraction script, and proof images.</w:t>
      </w:r>
    </w:p>
    <w:p>
      <w:pPr>
        <w:pStyle w:val="ListBullet"/>
        <w:spacing w:after="40"/>
      </w:pPr>
      <w:r>
        <w:t>final-reports/season-total-stats-report: final PDF, draft PDFs, and final proof exports.</w:t>
      </w:r>
    </w:p>
    <w:p>
      <w:pPr>
        <w:pStyle w:val="Heading1"/>
      </w:pPr>
      <w:r>
        <w:rPr>
          <w:rFonts w:ascii="Arial" w:hAnsi="Arial"/>
        </w:rPr>
        <w:t>Core Brand Look</w:t>
      </w:r>
    </w:p>
    <w:p>
      <w:pPr>
        <w:pStyle w:val="ListBullet"/>
        <w:spacing w:after="40"/>
      </w:pPr>
      <w:r>
        <w:rPr>
          <w:rFonts w:ascii="Arial" w:hAnsi="Arial"/>
          <w:sz w:val="19"/>
        </w:rPr>
        <w:t>Style: clean basketball analytics, portfolio-ready, black / white / gray / gold theme.</w:t>
      </w:r>
    </w:p>
    <w:p>
      <w:pPr>
        <w:pStyle w:val="ListBullet"/>
        <w:spacing w:after="40"/>
      </w:pPr>
      <w:r>
        <w:rPr>
          <w:rFonts w:ascii="Arial" w:hAnsi="Arial"/>
          <w:sz w:val="19"/>
        </w:rPr>
        <w:t>Tone: professional, sharp, modern, easy to read at a glance.</w:t>
      </w:r>
    </w:p>
    <w:p>
      <w:pPr>
        <w:pStyle w:val="ListBullet"/>
        <w:spacing w:after="40"/>
      </w:pPr>
      <w:r>
        <w:rPr>
          <w:rFonts w:ascii="Arial" w:hAnsi="Arial"/>
          <w:sz w:val="19"/>
        </w:rPr>
        <w:t>Avoid: spreadsheet look, crowded text, inconsistent badge colors, uneven chart sizes, fuzzy banner fills.</w:t>
      </w:r>
    </w:p>
    <w:p>
      <w:pPr>
        <w:pStyle w:val="ListBullet"/>
        <w:spacing w:after="40"/>
      </w:pPr>
      <w:r>
        <w:rPr>
          <w:rFonts w:ascii="Arial" w:hAnsi="Arial"/>
          <w:sz w:val="19"/>
        </w:rPr>
        <w:t>Design priority: one-page clarity first, then polish.</w:t>
      </w:r>
    </w:p>
    <w:p>
      <w:pPr>
        <w:pStyle w:val="Heading1"/>
      </w:pPr>
      <w:r>
        <w:rPr>
          <w:rFonts w:ascii="Arial" w:hAnsi="Arial"/>
        </w:rPr>
        <w:t>Primary Color Tokens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Token</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HEX</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Sample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Use</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Canvas Black</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#050505</w:t>
            </w:r>
          </w:p>
        </w:tc>
        <w:tc>
          <w:tcPr>
            <w:tcW w:type="dxa" w:w="2664"/>
            <w:vAlign w:val="center"/>
            <w:shd w:fill="050505"/>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FFFFFF"/>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Main page background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Header/Card Black</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#111111</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FFFFFF"/>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Top-five card headers and dark report panels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KPI Card Black</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#0B0B0B</w:t>
            </w:r>
          </w:p>
        </w:tc>
        <w:tc>
          <w:tcPr>
            <w:tcW w:type="dxa" w:w="2664"/>
            <w:vAlign w:val="center"/>
            <w:shd w:fill="0B0B0B"/>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FFFFFF"/>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KPI panel fill</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Border Gold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#D6A000</w:t>
            </w:r>
          </w:p>
        </w:tc>
        <w:tc>
          <w:tcPr>
            <w:tcW w:type="dxa" w:w="2664"/>
            <w:vAlign w:val="center"/>
            <w:shd w:fill="D6A000"/>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Outer stroke, dividers, card outlines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Primary Gold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#F6C400</w:t>
            </w:r>
          </w:p>
        </w:tc>
        <w:tc>
          <w:tcPr>
            <w:tcW w:type="dxa" w:w="2664"/>
            <w:vAlign w:val="center"/>
            <w:shd w:fill="F6C400"/>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Title accents, section bars, icons, large gold numbers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Card White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#FFFFFF</w:t>
            </w:r>
          </w:p>
        </w:tc>
        <w:tc>
          <w:tcPr>
            <w:tcW w:type="dxa" w:w="2664"/>
            <w:vAlign w:val="center"/>
            <w:shd w:fill="FFFFFF"/>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Leaderboard/table panel bodies and main light text</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Soft Row Gray</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#F2F2F2</w:t>
            </w:r>
          </w:p>
        </w:tc>
        <w:tc>
          <w:tcPr>
            <w:tcW w:type="dxa" w:w="2664"/>
            <w:vAlign w:val="center"/>
            <w:shd w:fill="F2F2F2"/>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Alternating roster/table rows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Season Total Positive Header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#00B818</w:t>
            </w:r>
          </w:p>
        </w:tc>
        <w:tc>
          <w:tcPr>
            <w:tcW w:type="dxa" w:w="2664"/>
            <w:vAlign w:val="center"/>
            <w:shd w:fill="00B818"/>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Positive top-five headers and roster Positive header</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Elite / Positive KPI Icon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#00E51D</w:t>
            </w:r>
          </w:p>
        </w:tc>
        <w:tc>
          <w:tcPr>
            <w:tcW w:type="dxa" w:w="2664"/>
            <w:vAlign w:val="center"/>
            <w:shd w:fill="00E51D"/>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Elite scale chip and Positive Total thumbs-up KPI icon</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Negative Red</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#D40000</w:t>
            </w:r>
          </w:p>
        </w:tc>
        <w:tc>
          <w:tcPr>
            <w:tcW w:type="dxa" w:w="2664"/>
            <w:vAlign w:val="center"/>
            <w:tcBorders>
              <w:top w:val="single" w:sz="4" w:space="0" w:color="DDDDDD"/>
              <w:left w:val="single" w:sz="4" w:space="0" w:color="DDDDDD"/>
              <w:bottom w:val="single" w:sz="4" w:space="0" w:color="DDDDDD"/>
              <w:right w:val="single" w:sz="4" w:space="0" w:color="DDDDDD"/>
            </w:tcBorders>
            <w:shd w:fill="D40000"/>
          </w:tcPr>
          <w:p>
            <w:pPr>
              <w:spacing w:before="0" w:after="0"/>
              <w:jc w:val="center"/>
            </w:pPr>
            <w:r>
              <w:rPr>
                <w:rFonts w:ascii="Arial" w:hAnsi="Arial"/>
                <w:b w:val="0"/>
                <w:sz w:val="14"/>
                <w:color w:val="FFFFFF"/>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Negative KPI number, Negative headers, thumbs-down KPI icon</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Liability Red</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#FF1C12</w:t>
            </w:r>
          </w:p>
        </w:tc>
        <w:tc>
          <w:tcPr>
            <w:tcW w:type="dxa" w:w="2664"/>
            <w:vAlign w:val="center"/>
            <w:tcBorders>
              <w:top w:val="single" w:sz="4" w:space="0" w:color="DDDDDD"/>
              <w:left w:val="single" w:sz="4" w:space="0" w:color="DDDDDD"/>
              <w:bottom w:val="single" w:sz="4" w:space="0" w:color="DDDDDD"/>
              <w:right w:val="single" w:sz="4" w:space="0" w:color="DDDDDD"/>
            </w:tcBorders>
            <w:shd w:fill="FF1C12"/>
          </w:tcPr>
          <w:p>
            <w:pPr>
              <w:spacing w:before="0" w:after="0"/>
              <w:jc w:val="center"/>
            </w:pPr>
            <w:r>
              <w:rPr>
                <w:rFonts w:ascii="Arial" w:hAnsi="Arial"/>
                <w:b w:val="0"/>
                <w:sz w:val="14"/>
                <w:color w:val="FFFFFF"/>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Liability scale chip</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Neutral Text Black</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#050505</w:t>
            </w:r>
          </w:p>
        </w:tc>
        <w:tc>
          <w:tcPr>
            <w:tcW w:type="dxa" w:w="2664"/>
            <w:vAlign w:val="center"/>
            <w:tcBorders>
              <w:top w:val="single" w:sz="4" w:space="0" w:color="DDDDDD"/>
              <w:left w:val="single" w:sz="4" w:space="0" w:color="DDDDDD"/>
              <w:bottom w:val="single" w:sz="4" w:space="0" w:color="DDDDDD"/>
              <w:right w:val="single" w:sz="4" w:space="0" w:color="DDDDDD"/>
            </w:tcBorders>
            <w:shd w:fill="050505"/>
          </w:tcPr>
          <w:p>
            <w:pPr>
              <w:spacing w:before="0" w:after="0"/>
              <w:jc w:val="center"/>
            </w:pPr>
            <w:r>
              <w:rPr>
                <w:rFonts w:ascii="Arial" w:hAnsi="Arial"/>
                <w:b w:val="0"/>
                <w:sz w:val="14"/>
                <w:color w:val="FFFFFF"/>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Readable body values, including roster Negative and Net columns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Silver Rank</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#BFC4CA</w:t>
            </w:r>
          </w:p>
        </w:tc>
        <w:tc>
          <w:tcPr>
            <w:tcW w:type="dxa" w:w="2664"/>
            <w:vAlign w:val="center"/>
            <w:tcBorders>
              <w:top w:val="single" w:sz="4" w:space="0" w:color="DDDDDD"/>
              <w:left w:val="single" w:sz="4" w:space="0" w:color="DDDDDD"/>
              <w:bottom w:val="single" w:sz="4" w:space="0" w:color="DDDDDD"/>
              <w:right w:val="single" w:sz="4" w:space="0" w:color="DDDDDD"/>
            </w:tcBorders>
            <w:shd w:fill="BFC4CA"/>
          </w:tcPr>
          <w:p>
            <w:pPr>
              <w:spacing w:before="0" w:after="0"/>
              <w:jc w:val="center"/>
            </w:pPr>
            <w:r>
              <w:rPr>
                <w:rFonts w:ascii="Arial" w:hAnsi="Arial"/>
                <w:b w:val="0"/>
                <w:sz w:val="14"/>
                <w:color w:val="000000"/>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Second-place rank badge</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Bronze Rank</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#C98A37</w:t>
            </w:r>
          </w:p>
        </w:tc>
        <w:tc>
          <w:tcPr>
            <w:tcW w:type="dxa" w:w="2664"/>
            <w:vAlign w:val="center"/>
            <w:tcBorders>
              <w:top w:val="single" w:sz="4" w:space="0" w:color="DDDDDD"/>
              <w:left w:val="single" w:sz="4" w:space="0" w:color="DDDDDD"/>
              <w:bottom w:val="single" w:sz="4" w:space="0" w:color="DDDDDD"/>
              <w:right w:val="single" w:sz="4" w:space="0" w:color="DDDDDD"/>
            </w:tcBorders>
            <w:shd w:fill="C98A37"/>
          </w:tcPr>
          <w:p>
            <w:pPr>
              <w:spacing w:before="0" w:after="0"/>
              <w:jc w:val="center"/>
            </w:pPr>
            <w:r>
              <w:rPr>
                <w:rFonts w:ascii="Arial" w:hAnsi="Arial"/>
                <w:b w:val="0"/>
                <w:sz w:val="14"/>
                <w:color w:val="000000"/>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Third-place rank badge</w:t>
            </w:r>
          </w:p>
        </w:tc>
      </w:tr>
    </w:tbl>
    <w:p>
      <w:r>
        <w:br w:type="page"/>
      </w:r>
    </w:p>
    <w:p>
      <w:pPr>
        <w:pStyle w:val="Heading1"/>
      </w:pPr>
      <w:r>
        <w:rPr>
          <w:rFonts w:ascii="Arial" w:hAnsi="Arial"/>
        </w:rPr>
        <w:t>Defensive Scale Palette</w:t>
      </w:r>
    </w:p>
    <w:p>
      <w:r>
        <w:t>Use this exact left-to-right defensive scale progression for all badges and legends: Liability to Elite, worst-to-best.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fill="FF1C12"/>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Liability</w:t>
            </w:r>
          </w:p>
        </w:tc>
        <w:tc>
          <w:tcPr>
            <w:tcW w:type="dxa" w:w="1522"/>
            <w:shd w:fill="FF69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Poor</w:t>
            </w:r>
          </w:p>
        </w:tc>
        <w:tc>
          <w:tcPr>
            <w:tcW w:type="dxa" w:w="1522"/>
            <w:shd w:fill="FFB0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Weak</w:t>
            </w:r>
          </w:p>
        </w:tc>
        <w:tc>
          <w:tcPr>
            <w:tcW w:type="dxa" w:w="1522"/>
            <w:shd w:fill="FFF2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Fair</w:t>
            </w:r>
          </w:p>
        </w:tc>
        <w:tc>
          <w:tcPr>
            <w:tcW w:type="dxa" w:w="1522"/>
            <w:shd w:fill="B8FF2C"/>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Good</w:t>
            </w:r>
          </w:p>
        </w:tc>
        <w:tc>
          <w:tcPr>
            <w:tcW w:type="dxa" w:w="1522"/>
            <w:shd w:fill="7CFF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Strong</w:t>
            </w:r>
          </w:p>
        </w:tc>
        <w:tc>
          <w:tcPr>
            <w:tcW w:type="dxa" w:w="1522"/>
            <w:shd w:fill="00E51D"/>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Elite</w:t>
            </w:r>
          </w:p>
        </w:tc>
      </w:tr>
      <w:tr>
        <w:tc>
          <w:tcPr>
            <w:tcW w:type="dxa" w:w="1522"/>
            <w:shd w:fill="FF1C12"/>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&lt; 0</w:t>
            </w:r>
          </w:p>
        </w:tc>
        <w:tc>
          <w:tcPr>
            <w:tcW w:type="dxa" w:w="1522"/>
            <w:shd w:fill="FF69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.00-.19</w:t>
            </w:r>
          </w:p>
        </w:tc>
        <w:tc>
          <w:tcPr>
            <w:tcW w:type="dxa" w:w="1522"/>
            <w:shd w:fill="FFB0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.20-.39</w:t>
            </w:r>
          </w:p>
        </w:tc>
        <w:tc>
          <w:tcPr>
            <w:tcW w:type="dxa" w:w="1522"/>
            <w:shd w:fill="FFF2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.40-.59</w:t>
            </w:r>
          </w:p>
        </w:tc>
        <w:tc>
          <w:tcPr>
            <w:tcW w:type="dxa" w:w="1522"/>
            <w:shd w:fill="B8FF2C"/>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.60-.79</w:t>
            </w:r>
          </w:p>
        </w:tc>
        <w:tc>
          <w:tcPr>
            <w:tcW w:type="dxa" w:w="1522"/>
            <w:shd w:fill="7CFF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.80-.99</w:t>
            </w:r>
          </w:p>
        </w:tc>
        <w:tc>
          <w:tcPr>
            <w:tcW w:type="dxa" w:w="1522"/>
            <w:shd w:fill="00E51D"/>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1.00</w:t>
            </w:r>
          </w:p>
        </w:tc>
      </w:tr>
    </w:tbl>
    <w:p>
      <w:r>
        <w:br w:type="page"/>
      </w:r>
    </w:p>
    <w:p>
      <w:pPr>
        <w:pStyle w:val="Heading1"/>
      </w:pPr>
      <w:r>
        <w:rPr>
          <w:rFonts w:ascii="Arial" w:hAnsi="Arial"/>
        </w:rPr>
        <w:t>Conditional Formatting Logic</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Area</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Rule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Output</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Notes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Games Tracked KPI</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pages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White calendar icon with gold dots and gold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for games tracked only.</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Positive Total KPI/header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positive accountability total</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Green thumbs-up icon and green number #00E51D; headers use #00B818</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the finished thumbs-up icon, not an older shield placeholder.</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Negative Total KPI/header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negative accountability total</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Red thumbs-down icon and red number #D40000</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the finished thumbs-down icon, not an older shield placeholder.</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Net Performance KPI</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net values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Gold balance scales icon with white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color the KPI number green/red.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Team PPM / Team PPP KPI</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rating value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Trend chart icon plus defensive-scale rating chip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Icon color follows the team PPM/PPP rating class.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Roster Net column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values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Black text #050505</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Roster Net stays neutral for readability.</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Negative Total table data</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negative totals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Black text #050505</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Negative headers and KPI remain red; table numbers stay black.</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1.00</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Elite bright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.80-.99</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Strong light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.60-.79</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Good yellow-green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.40-.59</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Fair yellow</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PPM / PPP rating</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.20-.39</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Weak light orange</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Use defensive scale chips.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PPM / PPP rating</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.00-.19</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Poor dark orange</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Use defensive scale chips.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PPM / PPP rating</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&lt; 0</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Liability red</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Use defensive scale chips.</w:t>
            </w:r>
          </w:p>
        </w:tc>
      </w:tr>
    </w:tbl>
    <w:p>
      <w:pPr>
        <w:pStyle w:val="Heading1"/>
        <w:keepNext/>
      </w:pPr>
      <w:r>
        <w:rPr>
          <w:rFonts w:ascii="Arial" w:hAnsi="Arial"/>
        </w:rPr>
        <w:t>Page Setup</w:t>
      </w:r>
    </w:p>
    <w:p>
      <w:pPr>
        <w:pStyle w:val="ListBullet"/>
        <w:spacing w:after="40"/>
      </w:pPr>
      <w:r>
        <w:t>Recommended canvas depends on report type: Season Total dashboard uses landscape 11 x 8.5 inches; Player Rankings and Action Leaderboard use portrait 8.5 x 11 inches.</w:t>
      </w:r>
    </w:p>
    <w:p>
      <w:pPr>
        <w:pStyle w:val="ListBullet"/>
        <w:spacing w:after="40"/>
      </w:pPr>
      <w:r>
        <w:rPr>
          <w:rFonts w:ascii="Arial" w:hAnsi="Arial"/>
          <w:sz w:val="19"/>
        </w:rPr>
        <w:t>Safe margin: 0.25 to 0.35 inches inside the gold outer border.</w:t>
      </w:r>
    </w:p>
    <w:p>
      <w:pPr>
        <w:pStyle w:val="ListBullet"/>
        <w:spacing w:after="40"/>
      </w:pPr>
      <w:r>
        <w:rPr>
          <w:rFonts w:ascii="Arial" w:hAnsi="Arial"/>
          <w:sz w:val="19"/>
        </w:rPr>
        <w:t>Outer border: gold stroke, consistent thickness, no clipping at page edges.</w:t>
      </w:r>
    </w:p>
    <w:p>
      <w:pPr>
        <w:pStyle w:val="ListBullet"/>
        <w:spacing w:after="40"/>
      </w:pPr>
      <w:r>
        <w:rPr>
          <w:rFonts w:ascii="Arial" w:hAnsi="Arial"/>
          <w:sz w:val="19"/>
        </w:rPr>
        <w:t>Footer: thin gold divider above footer, left breadcrumb, right page number.</w:t>
      </w:r>
    </w:p>
    <w:p>
      <w:pPr>
        <w:pStyle w:val="Heading1"/>
        <w:keepNext/>
        <w:pageBreakBefore/>
      </w:pPr>
      <w:r>
        <w:rPr>
          <w:rFonts w:ascii="Arial" w:hAnsi="Arial"/>
        </w:rPr>
        <w:t>Typography Guide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Element</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Recommended Font</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Size Range</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Weight</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Notes</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Main Title</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Impact / Arial Black / Arial</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30 pt current report family; 28-34 pt only if format changes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Condensed title treatment; letter spacing 0. Season Total, Action Leaderboard, and Player Rankings use 30 pt.</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Subtitle</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15-18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Gold text under title for Season Total dashboard pages.</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Description</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8-10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700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White/gray, short report summary.</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KPI Numbers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Impact / Arial Black / Arial</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20-28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Gold, red, white, or rating chip depending on metric.</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Section Bars</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Arial / Helvetica for Player Rankings major section bars; Impact / Arial Black for compact card bars</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16 pt Player Rankings section bars; 10.2 pt top-five card bars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Player Rankings major section bars are black with colored icon/title text. Top-five card headers use Impact/Arial Black.</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Table Headers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6 pt for current leaderboard cards; 6.5-8 pt only when space allows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Season Total and Player Rankings leaderboard subheaders are 6 pt, bold, centered, and vertically aligned.</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Table Body</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6.5-9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800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Season Total report uses bold body values for PDF readability.</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Footer</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7-9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800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Season Total-style footer strip. No boxed value-statement footer on current DPAT reports.</w:t>
            </w:r>
          </w:p>
        </w:tc>
      </w:tr>
    </w:tbl>
    <w:p>
      <w:r>
        <w:br w:type="page"/>
      </w:r>
    </w:p>
    <w:p>
      <w:pPr>
        <w:pStyle w:val="Heading1"/>
      </w:pPr>
      <w:r>
        <w:rPr>
          <w:rFonts w:ascii="Arial" w:hAnsi="Arial"/>
        </w:rPr>
        <w:t>Page 1 Layout Structure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Zone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Content</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Design Rule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Do Not Change</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Header Left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Title, subtitle, short description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Left aligned, strong title hierarchy</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shrink title too much.</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Header Right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Defensive Scale and gold shield icon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Scale reads left-to-right from Liability to Elite; labels/ranges centered; shield stays gold and tall at far right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let labels touch, drift high, overlap, or crowd the shield.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KPI Row</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Games Tracked, Positive Total, Negative Total, Net Performance, Team PPM/PPP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Five equal-width KPI cards with gold outlines; icons are calendar, thumbs-up, thumbs-down, balance scales, and trend chart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change the KPI order or return to placeholder shield icons.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Top-Five Row</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Minutes/Possessions, Positive Total, Negative Total, Overall/Man/50/21 PPM/PPP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Four aligned top-five cards; Positive header #00B818; Negative header #D40000; PPM/PPP uses scale chips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Top 3 badges and rating chips must stay consistent.</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Roster Table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 Player, POS, GP/POSS, MIN/POSS, Positive, Negative, Net, PPM/PPP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Gold title bar, black header row, alternating row fill, PPM/PPP scale chips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Keep Negative and Net body values black unless specifically requested.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Footer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Breadcrumb and page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Season Total-style black strip with gold top rule, basketball mark, breadcrumb text, and page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use a boxed value-statement footer or crowd the footer.</w:t>
            </w:r>
          </w:p>
        </w:tc>
      </w:tr>
    </w:tbl>
    <w:p>
      <w:pPr>
        <w:pStyle w:val="Heading1"/>
      </w:pPr>
      <w:r>
        <w:rPr>
          <w:rFonts w:ascii="Arial" w:hAnsi="Arial"/>
        </w:rPr>
        <w:t>Spacing and Alignment Rules</w:t>
      </w:r>
    </w:p>
    <w:p>
      <w:pPr>
        <w:pStyle w:val="ListBullet"/>
        <w:spacing w:after="40"/>
      </w:pPr>
      <w:r>
        <w:rPr>
          <w:rFonts w:ascii="Arial" w:hAnsi="Arial"/>
          <w:sz w:val="19"/>
        </w:rPr>
        <w:t>Keep all top metric cards the same width and height.</w:t>
      </w:r>
    </w:p>
    <w:p>
      <w:pPr>
        <w:pStyle w:val="ListBullet"/>
        <w:spacing w:after="40"/>
      </w:pPr>
      <w:r>
        <w:rPr>
          <w:rFonts w:ascii="Arial" w:hAnsi="Arial"/>
          <w:sz w:val="19"/>
        </w:rPr>
        <w:t>Keep all four leaderboard cards the same height and aligned to the same baseline.</w:t>
      </w:r>
    </w:p>
    <w:p>
      <w:pPr>
        <w:pStyle w:val="ListBullet"/>
        <w:spacing w:after="40"/>
      </w:pPr>
      <w:r>
        <w:rPr>
          <w:rFonts w:ascii="Arial" w:hAnsi="Arial"/>
          <w:sz w:val="19"/>
        </w:rPr>
        <w:t>Use consistent internal card padding: title area, body rows, and bottom breathing room should match.</w:t>
      </w:r>
    </w:p>
    <w:p>
      <w:pPr>
        <w:pStyle w:val="ListBullet"/>
        <w:spacing w:after="40"/>
      </w:pPr>
      <w:r>
        <w:t>Season Total gold section bars should be centered and full-width inside the table/card frame. Player Rankings major section bars stay black, with gold, green, or red icon/title text by section.</w:t>
      </w:r>
    </w:p>
    <w:p>
      <w:pPr>
        <w:pStyle w:val="ListBullet"/>
        <w:spacing w:after="40"/>
      </w:pPr>
      <w:r>
        <w:rPr>
          <w:rFonts w:ascii="Arial" w:hAnsi="Arial"/>
          <w:sz w:val="19"/>
        </w:rPr>
        <w:t>Defensive Scale badge labels and range values must be centered directly under each other.</w:t>
      </w:r>
    </w:p>
    <w:p>
      <w:pPr>
        <w:pStyle w:val="ListBullet"/>
        <w:spacing w:after="40"/>
      </w:pPr>
      <w:r>
        <w:rPr>
          <w:rFonts w:ascii="Arial" w:hAnsi="Arial"/>
          <w:sz w:val="19"/>
        </w:rPr>
        <w:t>Avoid micro-adjusting flat PDFs unless the original source is unavailable.</w:t>
      </w:r>
    </w:p>
    <w:p>
      <w:pPr>
        <w:pStyle w:val="Heading1"/>
      </w:pPr>
      <w:r>
        <w:rPr>
          <w:rFonts w:ascii="Arial" w:hAnsi="Arial"/>
        </w:rPr>
        <w:t>Ranking Badge Rules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Use Case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Rank 1</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Rank 2</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Rank 3</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Positive / Performance leaderboards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Gold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Silver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Bronze</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Negative accountability leaderboards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Red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Orange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Yellow</w:t>
            </w:r>
          </w:p>
        </w:tc>
      </w:tr>
    </w:tbl>
    <w:p>
      <w:pPr>
        <w:pStyle w:val="Heading1"/>
      </w:pPr>
      <w:r>
        <w:rPr>
          <w:rFonts w:ascii="Arial" w:hAnsi="Arial"/>
        </w:rPr>
        <w:t>CSS / Code Tokens for Rebuilds</w:t>
      </w:r>
    </w:p>
    <w:p>
      <w:pPr>
        <w:spacing w:after="0" w:before="0" w:line="240" w:lineRule="auto"/>
        <w:ind w:left="288"/>
      </w:pPr>
      <w:r>
        <w:rPr>
          <w:rFonts w:ascii="Courier New" w:hAnsi="Courier New"/>
          <w:sz w:val="18"/>
        </w:rPr>
        <w:t>:root {</w:t>
      </w:r>
    </w:p>
    <w:p>
      <w:pPr>
        <w:spacing w:after="0" w:before="0" w:line="240" w:lineRule="auto"/>
        <w:ind w:left="288"/>
      </w:pPr>
      <w:r>
        <w:rPr>
          <w:rFonts w:ascii="Courier New" w:hAnsi="Courier New"/>
          <w:sz w:val="18"/>
        </w:rPr>
        <w:t>--dpat-black: #050505;</w:t>
      </w:r>
    </w:p>
    <w:p>
      <w:pPr>
        <w:spacing w:after="0" w:before="0" w:line="240" w:lineRule="auto"/>
        <w:ind w:left="288"/>
      </w:pPr>
      <w:r>
        <w:rPr>
          <w:rFonts w:ascii="Courier New" w:hAnsi="Courier New"/>
          <w:sz w:val="18"/>
        </w:rPr>
        <w:t>--dpat-header-black: #111111;</w:t>
      </w:r>
    </w:p>
    <w:p>
      <w:pPr>
        <w:spacing w:after="0" w:before="0" w:line="240" w:lineRule="auto"/>
        <w:ind w:left="288"/>
      </w:pPr>
      <w:r>
        <w:rPr>
          <w:rFonts w:ascii="Courier New" w:hAnsi="Courier New"/>
          <w:sz w:val="18"/>
        </w:rPr>
        <w:t>--dpat-gold: #F6C400;</w:t>
      </w:r>
    </w:p>
    <w:p>
      <w:pPr>
        <w:spacing w:after="0" w:before="0" w:line="240" w:lineRule="auto"/>
        <w:ind w:left="288"/>
      </w:pPr>
      <w:r>
        <w:rPr>
          <w:rFonts w:ascii="Courier New" w:hAnsi="Courier New"/>
          <w:sz w:val="18"/>
        </w:rPr>
        <w:t>--dpat-border-gold: #D6A000;</w:t>
      </w:r>
    </w:p>
    <w:p>
      <w:pPr>
        <w:spacing w:after="0" w:before="0" w:line="240" w:lineRule="auto"/>
        <w:ind w:left="288"/>
      </w:pPr>
      <w:r>
        <w:rPr>
          <w:rFonts w:ascii="Courier New" w:hAnsi="Courier New"/>
          <w:sz w:val="18"/>
        </w:rPr>
        <w:t>--dpat-white: #FFFFFF;</w:t>
      </w:r>
    </w:p>
    <w:p>
      <w:pPr>
        <w:spacing w:after="0" w:before="0" w:line="240" w:lineRule="auto"/>
        <w:ind w:left="288"/>
      </w:pPr>
      <w:r>
        <w:rPr>
          <w:rFonts w:ascii="Courier New" w:hAnsi="Courier New"/>
          <w:sz w:val="18"/>
        </w:rPr>
        <w:t>--dpat-row-gray: #F2F2F2;</w:t>
      </w:r>
    </w:p>
    <w:p>
      <w:pPr>
        <w:spacing w:after="0" w:before="0" w:line="240" w:lineRule="auto"/>
        <w:ind w:left="288"/>
      </w:pPr>
      <w:r>
        <w:rPr>
          <w:rFonts w:ascii="Courier New" w:hAnsi="Courier New"/>
          <w:sz w:val="18"/>
        </w:rPr>
        <w:t>--dpat-positive: #00B818;</w:t>
      </w:r>
    </w:p>
    <w:p>
      <w:pPr>
        <w:spacing w:after="0" w:before="0" w:line="240" w:lineRule="auto"/>
        <w:ind w:left="288"/>
      </w:pPr>
      <w:r>
        <w:rPr>
          <w:rFonts w:ascii="Courier New" w:hAnsi="Courier New"/>
          <w:sz w:val="18"/>
        </w:rPr>
        <w:t>--dpat-negative: #D40000;</w:t>
      </w:r>
    </w:p>
    <w:p>
      <w:pPr>
        <w:spacing w:after="0" w:before="0" w:line="240" w:lineRule="auto"/>
        <w:ind w:left="288"/>
      </w:pPr>
      <w:r>
        <w:rPr>
          <w:rFonts w:ascii="Courier New" w:hAnsi="Courier New"/>
          <w:sz w:val="18"/>
        </w:rPr>
        <w:t>--scale-elite: #00E51D;</w:t>
      </w:r>
    </w:p>
    <w:p>
      <w:pPr>
        <w:spacing w:after="0" w:before="0" w:line="240" w:lineRule="auto"/>
        <w:ind w:left="288"/>
      </w:pPr>
      <w:r>
        <w:rPr>
          <w:rFonts w:ascii="Courier New" w:hAnsi="Courier New"/>
          <w:sz w:val="18"/>
        </w:rPr>
        <w:t>--scale-strong: #7CFF00;</w:t>
      </w:r>
    </w:p>
    <w:p>
      <w:pPr>
        <w:spacing w:after="0" w:before="0" w:line="240" w:lineRule="auto"/>
        <w:ind w:left="288"/>
      </w:pPr>
      <w:r>
        <w:rPr>
          <w:rFonts w:ascii="Courier New" w:hAnsi="Courier New"/>
          <w:sz w:val="18"/>
        </w:rPr>
        <w:t>--scale-good: #B8FF2C;</w:t>
      </w:r>
    </w:p>
    <w:p>
      <w:pPr>
        <w:spacing w:after="0" w:before="0" w:line="240" w:lineRule="auto"/>
        <w:ind w:left="288"/>
      </w:pPr>
      <w:r>
        <w:rPr>
          <w:rFonts w:ascii="Courier New" w:hAnsi="Courier New"/>
          <w:sz w:val="18"/>
        </w:rPr>
        <w:t>--scale-fair: #FFF200;</w:t>
      </w:r>
    </w:p>
    <w:p>
      <w:pPr>
        <w:spacing w:after="0" w:before="0" w:line="240" w:lineRule="auto"/>
        <w:ind w:left="288"/>
      </w:pPr>
      <w:r>
        <w:rPr>
          <w:rFonts w:ascii="Courier New" w:hAnsi="Courier New"/>
          <w:sz w:val="18"/>
        </w:rPr>
        <w:t>--scale-weak: #FFB000;</w:t>
      </w:r>
    </w:p>
    <w:p>
      <w:pPr>
        <w:spacing w:after="0" w:before="0" w:line="240" w:lineRule="auto"/>
        <w:ind w:left="288"/>
      </w:pPr>
      <w:r>
        <w:rPr>
          <w:rFonts w:ascii="Courier New" w:hAnsi="Courier New"/>
          <w:sz w:val="18"/>
        </w:rPr>
        <w:t>--scale-poor: #FF6900;</w:t>
      </w:r>
    </w:p>
    <w:p>
      <w:pPr>
        <w:spacing w:after="0" w:before="0" w:line="240" w:lineRule="auto"/>
        <w:ind w:left="288"/>
      </w:pPr>
      <w:r>
        <w:rPr>
          <w:rFonts w:ascii="Courier New" w:hAnsi="Courier New"/>
          <w:sz w:val="18"/>
        </w:rPr>
        <w:t>--scale-liability: #FF1C12;</w:t>
      </w:r>
    </w:p>
    <w:p>
      <w:pPr>
        <w:spacing w:after="0" w:before="0" w:line="240" w:lineRule="auto"/>
        <w:ind w:left="288"/>
      </w:pPr>
      <w:r>
        <w:rPr>
          <w:rFonts w:ascii="Courier New" w:hAnsi="Courier New"/>
          <w:sz w:val="18"/>
        </w:rPr>
        <w:t>--silver: #BFC4CA;</w:t>
      </w:r>
    </w:p>
    <w:p>
      <w:pPr>
        <w:spacing w:before="0" w:after="0" w:line="240" w:lineRule="auto"/>
      </w:pPr>
      <w:r>
        <w:rPr>
          <w:rFonts w:ascii="Courier New" w:hAnsi="Courier New"/>
          <w:sz w:val="18"/>
        </w:rPr>
        <w:t>--bronze: #C98A37;</w:t>
      </w:r>
    </w:p>
    <w:p>
      <w:pPr>
        <w:pStyle w:val="Heading1"/>
        <w:spacing w:before="0" w:after="0" w:line="240" w:lineRule="auto"/>
      </w:pPr>
      <w:r>
        <w:rPr>
          <w:rFonts w:ascii="Courier New" w:hAnsi="Courier New"/>
          <w:sz w:val="18"/>
        </w:rPr>
        <w:t>}</w:t>
      </w:r>
    </w:p>
    <w:p>
      <w:pPr>
        <w:pStyle w:val="ListBullet"/>
        <w:spacing w:after="40"/>
      </w:pPr>
      <w:r>
        <w:rPr>
          <w:rFonts w:ascii="Arial" w:hAnsi="Arial"/>
          <w:sz w:val="19"/>
        </w:rPr>
        <w:t>Confirm page count and page names before editing.</w:t>
      </w:r>
    </w:p>
    <w:p>
      <w:pPr>
        <w:pStyle w:val="ListBullet"/>
        <w:spacing w:after="40"/>
      </w:pPr>
      <w:r>
        <w:rPr>
          <w:rFonts w:ascii="Arial" w:hAnsi="Arial"/>
          <w:sz w:val="19"/>
        </w:rPr>
        <w:t>Confirm whether values are raw totals, per-game averages, PPM, or PPP before formatting.</w:t>
      </w:r>
    </w:p>
    <w:p>
      <w:pPr>
        <w:pStyle w:val="ListBullet"/>
        <w:spacing w:after="40"/>
      </w:pPr>
      <w:r>
        <w:t>Apply scale colors only to PPM/PPP rating/efficiency values, not raw totals unless requested.</w:t>
      </w:r>
    </w:p>
    <w:p>
      <w:pPr>
        <w:pStyle w:val="ListBullet"/>
        <w:spacing w:after="40"/>
      </w:pPr>
      <w:r>
        <w:t>Use KPI icons consistently: calendar for games, green thumbs-up for Positive Total, red thumbs-down for Negative Total, gold balance scales with white value text for Net Performance, and a trend chart for Team PPM/PPP. Player Rankings uses the 94 Feet Defender Badge, gold podium/crown rankings icon, red two-arrow possession icon, and green/red thumbs for section headers.</w:t>
      </w:r>
    </w:p>
    <w:p>
      <w:pPr>
        <w:pStyle w:val="ListBullet"/>
        <w:spacing w:after="40"/>
      </w:pPr>
      <w:r>
        <w:rPr>
          <w:rFonts w:ascii="Arial" w:hAnsi="Arial"/>
          <w:sz w:val="19"/>
        </w:rPr>
        <w:t>Export a proof PDF and inspect at 100% zoom before final delivery.</w:t>
      </w:r>
    </w:p>
    <w:p>
      <w:pPr>
        <w:pStyle w:val="ListBullet"/>
        <w:spacing w:after="40"/>
      </w:pPr>
      <w:r>
        <w:t>Keep editable source files in report-designs, source files in source-data, design references in codex-design, and final exports in final-reports.</w:t>
      </w:r>
    </w:p>
    <w:p>
      <w:r>
        <w:t>Updated Structure Note</w:t>
      </w:r>
    </w:p>
    <w:p>
      <w:r>
        <w:t>For the Season Total Stats Report, do not package all files into codex-design. Use the four DPAT folders by purpose: codex-design for references, source-data for workbook/CSV, report-designs for editable build files, and final-reports for final PDFs/proofs.</w:t>
      </w:r>
    </w:p>
    <w:p>
      <w:r>
        <w:t>KPI Icon Note</w:t>
      </w:r>
    </w:p>
    <w:p>
      <w:r>
        <w:t>Season Total Stats KPI cards should use the finished icon set: calendar, green thumbs-up, red thumbs-down, gold balance scales, and trend chart. Net Performance uses white value text with the gold scales icon.</w:t>
      </w:r>
    </w:p>
    <w:p>
      <w:r>
        <w:t>Season Total Source-of-Truth Note</w:t>
      </w:r>
    </w:p>
    <w:p>
      <w:r>
        <w:t>For the next DPAT dashboard-style document, base formatting on the finished 2025-2026 Season Total Stats Report: report-designs/season-total-stats-report/styles.css, report-designs/season-total-stats-report/report.js, and final-reports/season-total-stats-report/dpat-season-total-stats-report-2025-2026.pdf.</w:t>
      </w:r>
    </w:p>
    <w:p>
      <w:r>
        <w:t>Season Total Color Note</w:t>
      </w:r>
    </w:p>
    <w:p>
      <w:r>
        <w:t>Use #00B818 for Season Total positive headers. Use #00E51D for the Elite scale chip and Positive Total thumbs-up KPI icon. The #168A2F green belongs to the Action Leaderboard positive page accent, not the Season Total dashboard headers.</w:t>
      </w:r>
    </w:p>
    <w:p>
      <w:r>
        <w:t>Season Total Icon Note</w:t>
      </w:r>
    </w:p>
    <w:p>
      <w:r>
        <w:t>Use calendar for Games Tracked, thumbs-up for Positive Total, thumbs-down for Negative Total, gold balance scales for Net Performance, trend chart for Team PPM/PPP, and a gold shield in the Season Total report header. Player Rankings uses the 94 Feet Defender Badge at top left and gold podium/crown rankings icon at top right.</w:t>
      </w:r>
    </w:p>
    <w:p>
      <w:pPr>
        <w:pStyle w:val="Heading1"/>
      </w:pPr>
      <w:r>
        <w:rPr>
          <w:b/>
        </w:rPr>
        <w:t>Player Rankings Source-of-Truth Note</w:t>
      </w:r>
    </w:p>
    <w:p>
      <w:pPr/>
      <w:r>
        <w:t>For the current Player Rankings report, use report-designs/player-rankings/, codex-design/player-rankings-report/dpat-player-rankings-current-report.pdf, and final-reports/player-rankings/dpat-player-rankings-report-2025-2026.pdf. Do not use archived Player Rankings files as current direction.</w:t>
      </w:r>
    </w:p>
    <w:p>
      <w:pPr/>
      <w:r>
        <w:rPr>
          <w:b/>
        </w:rPr>
        <w:t>Player Rankings Typography Note</w:t>
      </w:r>
    </w:p>
    <w:p>
      <w:pPr/>
      <w:r>
        <w:t>Player Rankings title matches Season Total: Impact / Arial Black / Arial, 30 pt, line-height 0.9, letter spacing 0. Top-five card headers match Season Total: Impact / Arial Black / Arial, 10.2 pt, 0.25 in header height. Leaderboard subheaders use 6 pt bold Arial/Helvetica, centered and vertically middle aligned.</w:t>
      </w:r>
    </w:p>
    <w:p>
      <w:pPr/>
      <w:r>
        <w:rPr>
          <w:b/>
        </w:rPr>
        <w:t>Player Rankings Header and Icon Note</w:t>
      </w:r>
    </w:p>
    <w:p>
      <w:pPr/>
      <w:r>
        <w:t>Use the 94 Feet Defender Badge at top left and the gold podium/crown rankings icon at top right. Possessions Per Game uses the red two-arrow possession icon. Positive Defensive Impact uses a black section bar with green #00B818 thumbs-up icon and title text. Negative Plays / Accountability uses a black section bar with red #D40000 thumbs-down icon and title text. Positive and negative card headers remain solid green/red with white Impact / Arial Black type.</w:t>
      </w:r>
    </w:p>
    <w:p>
      <w:pPr/>
      <w:r>
        <w:rPr>
          <w:b/>
        </w:rPr>
        <w:t>Player Rankings Footer Rule</w:t>
      </w:r>
    </w:p>
    <w:p>
      <w:pPr/>
      <w:r>
        <w:t>Use the Season Total-style footer strip: black background, gold top rule, basketball mark, breadcrumb text, and page number. Do not use the boxed DPAT Value Statement footer on current DPAT reports; the compact footer gives the top-five leaderboard cards more vertical space.</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DPAT Report Source &amp; Brand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DPAT Report Source and Brand Guide</dc:title>
  <dc:subject>Editable DPAT source file specifications</dc:subject>
  <dc:creator>OpenAI</dc:creator>
  <cp:keywords/>
  <dc:description/>
  <cp:lastModifiedBy/>
  <cp:revision>1</cp:revision>
  <dcterms:created xsi:type="dcterms:W3CDTF">2013-12-23T23:15:00Z</dcterms:created>
  <dcterms:modified xsi:type="dcterms:W3CDTF">2013-12-23T23:15:00Z</dcterms:modified>
  <cp:category/>
</cp:coreProperties>
</file>