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Confidentiality &amp; Non-Disclosure Policy</w:t>
      </w:r>
    </w:p>
    <w:p>
      <w:pPr>
        <w:spacing w:after="40"/>
        <w:jc w:val="center"/>
      </w:pPr>
      <w:r>
        <w:rPr>
          <w:rFonts w:ascii="Arial" w:cs="Arial" w:eastAsia="Arial" w:hAnsi="Arial"/>
          <w:i/>
          <w:iCs/>
          <w:color w:val="666666"/>
          <w:sz w:val="22"/>
          <w:szCs w:val="22"/>
        </w:rPr>
        <w:t xml:space="preserve">Termac Family of Companies — Company Policy</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Policy Statement</w:t>
      </w:r>
    </w:p>
    <w:p>
      <w:pPr>
        <w:spacing w:after="120"/>
      </w:pPr>
      <w:r>
        <w:rPr>
          <w:rFonts w:ascii="Arial" w:cs="Arial" w:eastAsia="Arial" w:hAnsi="Arial"/>
          <w:sz w:val="22"/>
          <w:szCs w:val="22"/>
        </w:rPr>
        <w:t xml:space="preserve">Employees of Termac Family of Companies have access to confidential business information including customer lists, pricing, trade routes, system configurations, software tools, financial data, and business strategies. This information is proprietary and must be protected during and after employment.</w:t>
      </w:r>
    </w:p>
    <w:p>
      <w:pPr>
        <w:pStyle w:val="Heading1"/>
        <w:spacing w:after="120" w:before="240"/>
      </w:pPr>
      <w:r>
        <w:rPr>
          <w:rFonts w:ascii="Arial" w:cs="Arial" w:eastAsia="Arial" w:hAnsi="Arial"/>
          <w:b/>
          <w:bCs/>
          <w:color w:val="1A4731"/>
          <w:sz w:val="28"/>
          <w:szCs w:val="28"/>
        </w:rPr>
        <w:t xml:space="preserve">Confidential Information Includes</w:t>
      </w:r>
    </w:p>
    <w:p>
      <w:pPr>
        <w:pStyle w:val="ListParagraph"/>
        <w:numPr>
          <w:ilvl w:val="0"/>
          <w:numId w:val="2"/>
        </w:numPr>
        <w:spacing w:after="80"/>
      </w:pPr>
      <w:r>
        <w:rPr>
          <w:rFonts w:ascii="Arial" w:cs="Arial" w:eastAsia="Arial" w:hAnsi="Arial"/>
          <w:sz w:val="22"/>
          <w:szCs w:val="22"/>
        </w:rPr>
        <w:t xml:space="preserve">Customer names, contact information, service history, and account details</w:t>
      </w:r>
    </w:p>
    <w:p>
      <w:pPr>
        <w:pStyle w:val="ListParagraph"/>
        <w:numPr>
          <w:ilvl w:val="0"/>
          <w:numId w:val="2"/>
        </w:numPr>
        <w:spacing w:after="80"/>
      </w:pPr>
      <w:r>
        <w:rPr>
          <w:rFonts w:ascii="Arial" w:cs="Arial" w:eastAsia="Arial" w:hAnsi="Arial"/>
          <w:sz w:val="22"/>
          <w:szCs w:val="22"/>
        </w:rPr>
        <w:t xml:space="preserve">Pricing structures, contract terms, and commission rates</w:t>
      </w:r>
    </w:p>
    <w:p>
      <w:pPr>
        <w:pStyle w:val="ListParagraph"/>
        <w:numPr>
          <w:ilvl w:val="0"/>
          <w:numId w:val="2"/>
        </w:numPr>
        <w:spacing w:after="80"/>
      </w:pPr>
      <w:r>
        <w:rPr>
          <w:rFonts w:ascii="Arial" w:cs="Arial" w:eastAsia="Arial" w:hAnsi="Arial"/>
          <w:sz w:val="22"/>
          <w:szCs w:val="22"/>
        </w:rPr>
        <w:t xml:space="preserve">Territory maps, lead lists, and prospect data</w:t>
      </w:r>
    </w:p>
    <w:p>
      <w:pPr>
        <w:pStyle w:val="ListParagraph"/>
        <w:numPr>
          <w:ilvl w:val="0"/>
          <w:numId w:val="2"/>
        </w:numPr>
        <w:spacing w:after="80"/>
      </w:pPr>
      <w:r>
        <w:rPr>
          <w:rFonts w:ascii="Arial" w:cs="Arial" w:eastAsia="Arial" w:hAnsi="Arial"/>
          <w:sz w:val="22"/>
          <w:szCs w:val="22"/>
        </w:rPr>
        <w:t xml:space="preserve">Termac OS software, configurations, and proprietary workflows</w:t>
      </w:r>
    </w:p>
    <w:p>
      <w:pPr>
        <w:pStyle w:val="ListParagraph"/>
        <w:numPr>
          <w:ilvl w:val="0"/>
          <w:numId w:val="2"/>
        </w:numPr>
        <w:spacing w:after="80"/>
      </w:pPr>
      <w:r>
        <w:rPr>
          <w:rFonts w:ascii="Arial" w:cs="Arial" w:eastAsia="Arial" w:hAnsi="Arial"/>
          <w:sz w:val="22"/>
          <w:szCs w:val="22"/>
        </w:rPr>
        <w:t xml:space="preserve">Financial statements, revenue figures, and cost structures</w:t>
      </w:r>
    </w:p>
    <w:p>
      <w:pPr>
        <w:pStyle w:val="ListParagraph"/>
        <w:numPr>
          <w:ilvl w:val="0"/>
          <w:numId w:val="2"/>
        </w:numPr>
        <w:spacing w:after="80"/>
      </w:pPr>
      <w:r>
        <w:rPr>
          <w:rFonts w:ascii="Arial" w:cs="Arial" w:eastAsia="Arial" w:hAnsi="Arial"/>
          <w:sz w:val="22"/>
          <w:szCs w:val="22"/>
        </w:rPr>
        <w:t xml:space="preserve">Employee compensation, personnel records, and HR information</w:t>
      </w:r>
    </w:p>
    <w:p>
      <w:pPr>
        <w:pStyle w:val="Heading1"/>
        <w:spacing w:after="120" w:before="240"/>
      </w:pPr>
      <w:r>
        <w:rPr>
          <w:rFonts w:ascii="Arial" w:cs="Arial" w:eastAsia="Arial" w:hAnsi="Arial"/>
          <w:b/>
          <w:bCs/>
          <w:color w:val="1A4731"/>
          <w:sz w:val="28"/>
          <w:szCs w:val="28"/>
        </w:rPr>
        <w:t xml:space="preserve">Employee Obligations</w:t>
      </w:r>
    </w:p>
    <w:p>
      <w:pPr>
        <w:pStyle w:val="ListParagraph"/>
        <w:numPr>
          <w:ilvl w:val="0"/>
          <w:numId w:val="2"/>
        </w:numPr>
        <w:spacing w:after="80"/>
      </w:pPr>
      <w:r>
        <w:rPr>
          <w:rFonts w:ascii="Arial" w:cs="Arial" w:eastAsia="Arial" w:hAnsi="Arial"/>
          <w:sz w:val="22"/>
          <w:szCs w:val="22"/>
        </w:rPr>
        <w:t xml:space="preserve">Do not share confidential information with anyone outside the company without written authorization</w:t>
      </w:r>
    </w:p>
    <w:p>
      <w:pPr>
        <w:pStyle w:val="ListParagraph"/>
        <w:numPr>
          <w:ilvl w:val="0"/>
          <w:numId w:val="2"/>
        </w:numPr>
        <w:spacing w:after="80"/>
      </w:pPr>
      <w:r>
        <w:rPr>
          <w:rFonts w:ascii="Arial" w:cs="Arial" w:eastAsia="Arial" w:hAnsi="Arial"/>
          <w:sz w:val="22"/>
          <w:szCs w:val="22"/>
        </w:rPr>
        <w:t xml:space="preserve">Do not use company customer lists or data for any personal or competitive purpose</w:t>
      </w:r>
    </w:p>
    <w:p>
      <w:pPr>
        <w:pStyle w:val="ListParagraph"/>
        <w:numPr>
          <w:ilvl w:val="0"/>
          <w:numId w:val="2"/>
        </w:numPr>
        <w:spacing w:after="80"/>
      </w:pPr>
      <w:r>
        <w:rPr>
          <w:rFonts w:ascii="Arial" w:cs="Arial" w:eastAsia="Arial" w:hAnsi="Arial"/>
          <w:sz w:val="22"/>
          <w:szCs w:val="22"/>
        </w:rPr>
        <w:t xml:space="preserve">Do not discuss company financials, pricing, or internal processes on social media or in public</w:t>
      </w:r>
    </w:p>
    <w:p>
      <w:pPr>
        <w:pStyle w:val="ListParagraph"/>
        <w:numPr>
          <w:ilvl w:val="0"/>
          <w:numId w:val="2"/>
        </w:numPr>
        <w:spacing w:after="80"/>
      </w:pPr>
      <w:r>
        <w:rPr>
          <w:rFonts w:ascii="Arial" w:cs="Arial" w:eastAsia="Arial" w:hAnsi="Arial"/>
          <w:sz w:val="22"/>
          <w:szCs w:val="22"/>
        </w:rPr>
        <w:t xml:space="preserve">Return all company materials and data upon separation</w:t>
      </w:r>
    </w:p>
    <w:p>
      <w:pPr>
        <w:pStyle w:val="ListParagraph"/>
        <w:numPr>
          <w:ilvl w:val="0"/>
          <w:numId w:val="2"/>
        </w:numPr>
        <w:spacing w:after="80"/>
      </w:pPr>
      <w:r>
        <w:rPr>
          <w:rFonts w:ascii="Arial" w:cs="Arial" w:eastAsia="Arial" w:hAnsi="Arial"/>
          <w:sz w:val="22"/>
          <w:szCs w:val="22"/>
        </w:rPr>
        <w:t xml:space="preserve">Confidentiality obligations survive termination of employment</w:t>
      </w:r>
    </w:p>
    <w:p>
      <w:pPr>
        <w:pStyle w:val="Heading1"/>
        <w:spacing w:after="120" w:before="240"/>
      </w:pPr>
      <w:r>
        <w:rPr>
          <w:rFonts w:ascii="Arial" w:cs="Arial" w:eastAsia="Arial" w:hAnsi="Arial"/>
          <w:b/>
          <w:bCs/>
          <w:color w:val="1A4731"/>
          <w:sz w:val="28"/>
          <w:szCs w:val="28"/>
        </w:rPr>
        <w:t xml:space="preserve">Violations</w:t>
      </w:r>
    </w:p>
    <w:p>
      <w:pPr>
        <w:spacing w:after="120"/>
      </w:pPr>
      <w:r>
        <w:rPr>
          <w:rFonts w:ascii="Arial" w:cs="Arial" w:eastAsia="Arial" w:hAnsi="Arial"/>
          <w:sz w:val="22"/>
          <w:szCs w:val="22"/>
        </w:rPr>
        <w:t xml:space="preserve">Violations of this policy may result in immediate termination and civil legal action. Employees who are uncertain whether specific information is confidential should ask their manager before sharing.</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Confidentiality &amp; Non-Disclosure Policy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2026-06-24T18:55:16.148Z</dcterms:created>
  <dcterms:modified xsi:type="dcterms:W3CDTF">2026-06-24T18:55:16.148Z</dcterms:modified>
</cp:coreProperties>
</file>

<file path=docProps/custom.xml><?xml version="1.0" encoding="utf-8"?>
<Properties xmlns="http://schemas.openxmlformats.org/officeDocument/2006/custom-properties" xmlns:vt="http://schemas.openxmlformats.org/officeDocument/2006/docPropsVTypes"/>
</file>