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drawing>
          <wp:inline distT="0" distB="0" distL="0" distR="0">
            <wp:extent cx="4762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857375"/>
                    </a:xfrm>
                    <a:prstGeom prst="rect">
                      <a:avLst/>
                    </a:prstGeom>
                  </pic:spPr>
                </pic:pic>
              </a:graphicData>
            </a:graphic>
          </wp:inline>
        </w:drawing>
      </w:r>
    </w:p>
    <w:p>
      <w:pPr>
        <w:pBdr>
          <w:bottom w:val="single" w:color="1A5276" w:sz="12"/>
        </w:pBdr>
        <w:spacing w:after="100" w:before="100"/>
      </w:pPr>
    </w:p>
    <w:p>
      <w:pPr>
        <w:spacing w:after="0" w:before="100"/>
      </w:pPr>
      <w:r>
        <w:t xml:space="preserve"/>
      </w:r>
    </w:p>
    <w:p>
      <w:pPr>
        <w:spacing w:after="40" w:before="0"/>
        <w:jc w:val="center"/>
      </w:pPr>
      <w:r>
        <w:rPr>
          <w:rFonts w:ascii="Calibri" w:cs="Calibri" w:eastAsia="Calibri" w:hAnsi="Calibri"/>
          <w:b/>
          <w:bCs/>
          <w:color w:val="1A5276"/>
          <w:sz w:val="34"/>
          <w:szCs w:val="34"/>
        </w:rPr>
        <w:t xml:space="preserve">MASTER SERVICE AGREEMENT</w:t>
      </w:r>
    </w:p>
    <w:p>
      <w:pPr>
        <w:spacing w:after="160" w:before="0"/>
        <w:jc w:val="center"/>
      </w:pPr>
      <w:r>
        <w:rPr>
          <w:rFonts w:ascii="Calibri" w:cs="Calibri" w:eastAsia="Calibri" w:hAnsi="Calibri"/>
          <w:i/>
          <w:iCs/>
          <w:color w:val="5A616B"/>
          <w:sz w:val="20"/>
          <w:szCs w:val="20"/>
        </w:rPr>
        <w:t xml:space="preserve">Termac LLC and Its Subsidiaries and Affiliates — A System of Services — Est. 1963</w:t>
      </w:r>
    </w:p>
    <w:p>
      <w:pPr>
        <w:spacing w:after="60" w:before="60"/>
        <w:jc w:val="both"/>
      </w:pPr>
      <w:r>
        <w:rPr>
          <w:rFonts w:ascii="Calibri" w:cs="Calibri" w:eastAsia="Calibri" w:hAnsi="Calibri"/>
          <w:sz w:val="20"/>
          <w:szCs w:val="20"/>
        </w:rPr>
        <w:t xml:space="preserve">This Master Service Agreement ("Agreement") is entered into by and between Termac LLC, a Pennsylvania limited liability company, including its subsidiaries and affiliates (collectively, the "Company"), and the undersigned client ("Client"). This Agreement governs all services provided by the Company and its affiliated divisions, including but not limited to Universal Fire Protection (UNI), Quality III Fire Protection, Inc. (Q3), ALLPro Stainless &amp; Metal Fabrication (ALP), Filter Man Inc. (FLM), GTO Grease Trap Services (GTO), and Termac Corporation (TRM). Specific services, pricing, and schedules are defined in Work Orders and Division Scope documents incorporated herein by reference.</w:t>
      </w:r>
    </w:p>
    <w:p>
      <w:pPr>
        <w:spacing w:after="80" w:before="280"/>
      </w:pPr>
      <w:r>
        <w:rPr>
          <w:rFonts w:ascii="Calibri" w:cs="Calibri" w:eastAsia="Calibri" w:hAnsi="Calibri"/>
          <w:b/>
          <w:bCs/>
          <w:color w:val="1A5276"/>
          <w:sz w:val="26"/>
          <w:szCs w:val="26"/>
        </w:rPr>
        <w:t xml:space="preserve">1. Account &amp; Agreement Information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shd w:fill="EBF5FB" w:val="clear"/>
          </w:tcPr>
          <w:p>
            <w:pPr>
              <w:spacing w:after="40" w:before="40"/>
            </w:pPr>
            <w:r>
              <w:rPr>
                <w:rFonts w:ascii="Calibri" w:cs="Calibri" w:eastAsia="Calibri" w:hAnsi="Calibri"/>
                <w:b/>
                <w:bCs/>
                <w:sz w:val="19"/>
                <w:szCs w:val="19"/>
              </w:rPr>
              <w:t xml:space="preserve">Account Name:</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Service Location:</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Billing Address:</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Primary Contact:</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Phone / Email:</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Agreement Type:</w:t>
            </w:r>
          </w:p>
        </w:tc>
        <w:tc>
          <w:tcPr>
            <w:tcW w:type="dxa" w:w="6740"/>
          </w:tcPr>
          <w:p>
            <w:pPr>
              <w:spacing w:after="40" w:before="40"/>
            </w:pPr>
            <w:r>
              <w:rPr>
                <w:rFonts w:ascii="Calibri" w:cs="Calibri" w:eastAsia="Calibri" w:hAnsi="Calibri"/>
                <w:sz w:val="19"/>
                <w:szCs w:val="19"/>
              </w:rPr>
              <w:t xml:space="preserve">  □ 1-Year     □ 3-Year</w:t>
            </w:r>
          </w:p>
        </w:tc>
      </w:tr>
      <w:tr>
        <w:tc>
          <w:tcPr>
            <w:tcW w:type="dxa" w:w="2800"/>
            <w:shd w:fill="EBF5FB" w:val="clear"/>
          </w:tcPr>
          <w:p>
            <w:pPr>
              <w:spacing w:after="40" w:before="40"/>
            </w:pPr>
            <w:r>
              <w:rPr>
                <w:rFonts w:ascii="Calibri" w:cs="Calibri" w:eastAsia="Calibri" w:hAnsi="Calibri"/>
                <w:b/>
                <w:bCs/>
                <w:sz w:val="19"/>
                <w:szCs w:val="19"/>
              </w:rPr>
              <w:t xml:space="preserve">Billing Cadence:</w:t>
            </w:r>
          </w:p>
        </w:tc>
        <w:tc>
          <w:tcPr>
            <w:tcW w:type="dxa" w:w="6740"/>
          </w:tcPr>
          <w:p>
            <w:pPr>
              <w:spacing w:after="40" w:before="40"/>
            </w:pPr>
            <w:r>
              <w:rPr>
                <w:rFonts w:ascii="Calibri" w:cs="Calibri" w:eastAsia="Calibri" w:hAnsi="Calibri"/>
                <w:sz w:val="19"/>
                <w:szCs w:val="19"/>
              </w:rPr>
              <w:t xml:space="preserve">  □ Monthly     □ Quarterly     □ Annually (Prepay)</w:t>
            </w:r>
          </w:p>
        </w:tc>
      </w:tr>
      <w:tr>
        <w:tc>
          <w:tcPr>
            <w:tcW w:type="dxa" w:w="2800"/>
            <w:shd w:fill="EBF5FB" w:val="clear"/>
          </w:tcPr>
          <w:p>
            <w:pPr>
              <w:spacing w:after="40" w:before="40"/>
            </w:pPr>
            <w:r>
              <w:rPr>
                <w:rFonts w:ascii="Calibri" w:cs="Calibri" w:eastAsia="Calibri" w:hAnsi="Calibri"/>
                <w:b/>
                <w:bCs/>
                <w:sz w:val="19"/>
                <w:szCs w:val="19"/>
              </w:rPr>
              <w:t xml:space="preserve">Agreement Start:</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Agreement End:</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State of Service:</w:t>
            </w:r>
          </w:p>
        </w:tc>
        <w:tc>
          <w:tcPr>
            <w:tcW w:type="dxa" w:w="6740"/>
          </w:tcPr>
          <w:p>
            <w:pPr>
              <w:spacing w:after="40" w:before="40"/>
            </w:pPr>
            <w:r>
              <w:rPr>
                <w:rFonts w:ascii="Calibri" w:cs="Calibri" w:eastAsia="Calibri" w:hAnsi="Calibri"/>
                <w:sz w:val="19"/>
                <w:szCs w:val="19"/>
              </w:rPr>
              <w:t xml:space="preserve">  □ PA     □ NJ     □ DE     □ MD     □ VA / DC</w:t>
            </w:r>
          </w:p>
        </w:tc>
      </w:tr>
    </w:tbl>
    <w:p>
      <w:r>
        <w:br w:type="page"/>
      </w:r>
    </w:p>
    <w:p>
      <w:pPr>
        <w:spacing w:after="80" w:before="0"/>
        <w:jc w:val="center"/>
      </w:pPr>
      <w:r>
        <w:drawing>
          <wp:inline distT="0" distB="0" distL="0" distR="0">
            <wp:extent cx="4762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857375"/>
                    </a:xfrm>
                    <a:prstGeom prst="rect">
                      <a:avLst/>
                    </a:prstGeom>
                  </pic:spPr>
                </pic:pic>
              </a:graphicData>
            </a:graphic>
          </wp:inline>
        </w:drawing>
      </w:r>
    </w:p>
    <w:p>
      <w:pPr>
        <w:pBdr>
          <w:bottom w:val="single" w:color="1A5276" w:sz="12"/>
        </w:pBdr>
        <w:spacing w:after="100" w:before="100"/>
      </w:pPr>
    </w:p>
    <w:p>
      <w:pPr>
        <w:spacing w:after="80" w:before="280"/>
      </w:pPr>
      <w:r>
        <w:rPr>
          <w:rFonts w:ascii="Calibri" w:cs="Calibri" w:eastAsia="Calibri" w:hAnsi="Calibri"/>
          <w:b/>
          <w:bCs/>
          <w:color w:val="1A5276"/>
          <w:sz w:val="26"/>
          <w:szCs w:val="26"/>
        </w:rPr>
        <w:t xml:space="preserve">2. Contracted Divisions, Account IDs &amp; Services</w:t>
      </w:r>
    </w:p>
    <w:p>
      <w:pPr>
        <w:spacing w:after="60" w:before="60"/>
        <w:jc w:val="both"/>
      </w:pPr>
      <w:r>
        <w:rPr>
          <w:rFonts w:ascii="Calibri" w:cs="Calibri" w:eastAsia="Calibri" w:hAnsi="Calibri"/>
          <w:sz w:val="20"/>
          <w:szCs w:val="20"/>
        </w:rPr>
        <w:t xml:space="preserve">Each division contracted under this Agreement is assigned its own unique internal Account ID for billing and general ledger allocation. Account IDs follow the division code prefix shown below. Only divisions with a checkbox marked and Account ID completed are active under this Agreement.</w:t>
      </w:r>
    </w:p>
    <w:p>
      <w:pPr>
        <w:spacing w:after="0" w:before="8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
        <w:gridCol w:w="2300"/>
        <w:gridCol w:w="2940"/>
      </w:tblGrid>
      <w:tr>
        <w:trPr>
          <w:tblHeader/>
        </w:trPr>
        <w:tc>
          <w:tcPr>
            <w:tcW w:type="dxa" w:w="2200"/>
            <w:shd w:fill="1A5276" w:val="clear"/>
          </w:tcPr>
          <w:p>
            <w:r>
              <w:rPr>
                <w:rFonts w:ascii="Calibri" w:cs="Calibri" w:eastAsia="Calibri" w:hAnsi="Calibri"/>
                <w:b/>
                <w:bCs/>
                <w:color w:val="FFFFFF"/>
                <w:sz w:val="19"/>
                <w:szCs w:val="19"/>
              </w:rPr>
              <w:t xml:space="preserve">Division</w:t>
            </w:r>
          </w:p>
        </w:tc>
        <w:tc>
          <w:tcPr>
            <w:tcW w:type="dxa" w:w="1800"/>
            <w:shd w:fill="1A5276" w:val="clear"/>
          </w:tcPr>
          <w:p>
            <w:r>
              <w:rPr>
                <w:rFonts w:ascii="Calibri" w:cs="Calibri" w:eastAsia="Calibri" w:hAnsi="Calibri"/>
                <w:b/>
                <w:bCs/>
                <w:color w:val="FFFFFF"/>
                <w:sz w:val="19"/>
                <w:szCs w:val="19"/>
              </w:rPr>
              <w:t xml:space="preserve">Prefix</w:t>
            </w:r>
          </w:p>
        </w:tc>
        <w:tc>
          <w:tcPr>
            <w:tcW w:type="dxa" w:w="300"/>
            <w:shd w:fill="1A5276" w:val="clear"/>
          </w:tcPr>
          <w:p>
            <w:pPr>
              <w:jc w:val="center"/>
            </w:pPr>
            <w:r>
              <w:rPr>
                <w:rFonts w:ascii="Calibri" w:cs="Calibri" w:eastAsia="Calibri" w:hAnsi="Calibri"/>
                <w:b/>
                <w:bCs/>
                <w:color w:val="FFFFFF"/>
                <w:sz w:val="19"/>
                <w:szCs w:val="19"/>
              </w:rPr>
              <w:t xml:space="preserve">✓</w:t>
            </w:r>
          </w:p>
        </w:tc>
        <w:tc>
          <w:tcPr>
            <w:tcW w:type="dxa" w:w="2300"/>
            <w:shd w:fill="1A5276" w:val="clear"/>
          </w:tcPr>
          <w:p>
            <w:r>
              <w:rPr>
                <w:rFonts w:ascii="Calibri" w:cs="Calibri" w:eastAsia="Calibri" w:hAnsi="Calibri"/>
                <w:b/>
                <w:bCs/>
                <w:color w:val="FFFFFF"/>
                <w:sz w:val="19"/>
                <w:szCs w:val="19"/>
              </w:rPr>
              <w:t xml:space="preserve">Account ID</w:t>
            </w:r>
          </w:p>
        </w:tc>
        <w:tc>
          <w:tcPr>
            <w:tcW w:type="dxa" w:w="2940"/>
            <w:shd w:fill="1A5276" w:val="clear"/>
          </w:tcPr>
          <w:p>
            <w:r>
              <w:rPr>
                <w:rFonts w:ascii="Calibri" w:cs="Calibri" w:eastAsia="Calibri" w:hAnsi="Calibri"/>
                <w:b/>
                <w:bCs/>
                <w:color w:val="FFFFFF"/>
                <w:sz w:val="19"/>
                <w:szCs w:val="19"/>
              </w:rPr>
              <w:t xml:space="preserve">Annual Value</w:t>
            </w:r>
          </w:p>
        </w:tc>
      </w:tr>
      <w:tr>
        <w:tc>
          <w:tcPr>
            <w:tcW w:type="dxa" w:w="2200"/>
            <w:shd w:fill="FFFFFF" w:val="clear"/>
          </w:tcPr>
          <w:p>
            <w:pPr>
              <w:spacing w:after="20" w:before="40"/>
            </w:pPr>
            <w:r>
              <w:rPr>
                <w:rFonts w:ascii="Calibri" w:cs="Calibri" w:eastAsia="Calibri" w:hAnsi="Calibri"/>
                <w:b/>
                <w:bCs/>
                <w:sz w:val="18"/>
                <w:szCs w:val="18"/>
              </w:rPr>
              <w:t xml:space="preserve">Universal Fire Protection</w:t>
            </w:r>
          </w:p>
          <w:p>
            <w:pPr>
              <w:spacing w:after="40" w:before="0"/>
            </w:pPr>
            <w:r>
              <w:rPr>
                <w:rFonts w:ascii="Calibri" w:cs="Calibri" w:eastAsia="Calibri" w:hAnsi="Calibri"/>
                <w:i/>
                <w:iCs/>
                <w:color w:val="5A616B"/>
                <w:sz w:val="16"/>
                <w:szCs w:val="16"/>
              </w:rPr>
              <w:t xml:space="preserve">Fire suppression, extinguishers, inspections</w:t>
            </w:r>
          </w:p>
        </w:tc>
        <w:tc>
          <w:tcPr>
            <w:tcW w:type="dxa" w:w="1800"/>
            <w:shd w:fill="FFFFFF" w:val="clear"/>
          </w:tcPr>
          <w:p>
            <w:pPr>
              <w:spacing w:after="40" w:before="40"/>
            </w:pPr>
            <w:r>
              <w:rPr>
                <w:rFonts w:ascii="Courier New" w:cs="Courier New" w:eastAsia="Courier New" w:hAnsi="Courier New"/>
                <w:b/>
                <w:bCs/>
                <w:color w:val="1A5276"/>
                <w:sz w:val="18"/>
                <w:szCs w:val="18"/>
              </w:rPr>
              <w:t xml:space="preserve">UNI-</w:t>
            </w:r>
          </w:p>
        </w:tc>
        <w:tc>
          <w:tcPr>
            <w:tcW w:type="dxa" w:w="300"/>
            <w:shd w:fill="FFFFFF" w:val="clear"/>
          </w:tcPr>
          <w:p>
            <w:pPr>
              <w:spacing w:after="40" w:before="40"/>
              <w:jc w:val="center"/>
            </w:pPr>
            <w:r>
              <w:rPr>
                <w:rFonts w:ascii="Calibri" w:cs="Calibri" w:eastAsia="Calibri" w:hAnsi="Calibri"/>
                <w:sz w:val="18"/>
                <w:szCs w:val="18"/>
              </w:rPr>
              <w:t xml:space="preserve">□</w:t>
            </w:r>
          </w:p>
        </w:tc>
        <w:tc>
          <w:tcPr>
            <w:tcW w:type="dxa" w:w="2300"/>
            <w:shd w:fill="FFFFFF" w:val="clear"/>
          </w:tcPr>
          <w:p>
            <w:pPr>
              <w:spacing w:after="40" w:before="40"/>
            </w:pPr>
            <w:r>
              <w:rPr>
                <w:rFonts w:ascii="Courier New" w:cs="Courier New" w:eastAsia="Courier New" w:hAnsi="Courier New"/>
                <w:color w:val="5A616B"/>
                <w:sz w:val="18"/>
                <w:szCs w:val="18"/>
              </w:rPr>
              <w:t xml:space="preserve">UNI-___________</w:t>
            </w:r>
          </w:p>
        </w:tc>
        <w:tc>
          <w:tcPr>
            <w:tcW w:type="dxa" w:w="2940"/>
            <w:shd w:fill="FFFFFF" w:val="clear"/>
          </w:tcPr>
          <w:p>
            <w:pPr>
              <w:spacing w:after="40" w:before="40"/>
            </w:pPr>
            <w:r>
              <w:rPr>
                <w:rFonts w:ascii="Calibri" w:cs="Calibri" w:eastAsia="Calibri" w:hAnsi="Calibri"/>
                <w:sz w:val="18"/>
                <w:szCs w:val="18"/>
              </w:rPr>
              <w:t xml:space="preserve">$</w:t>
            </w:r>
          </w:p>
        </w:tc>
      </w:tr>
      <w:tr>
        <w:tc>
          <w:tcPr>
            <w:tcW w:type="dxa" w:w="2200"/>
            <w:shd w:fill="EBF5FB" w:val="clear"/>
          </w:tcPr>
          <w:p>
            <w:pPr>
              <w:spacing w:after="20" w:before="40"/>
            </w:pPr>
            <w:r>
              <w:rPr>
                <w:rFonts w:ascii="Calibri" w:cs="Calibri" w:eastAsia="Calibri" w:hAnsi="Calibri"/>
                <w:b/>
                <w:bCs/>
                <w:sz w:val="18"/>
                <w:szCs w:val="18"/>
              </w:rPr>
              <w:t xml:space="preserve">Quality III Fire Protection, Inc.</w:t>
            </w:r>
          </w:p>
          <w:p>
            <w:pPr>
              <w:spacing w:after="40" w:before="0"/>
            </w:pPr>
            <w:r>
              <w:rPr>
                <w:rFonts w:ascii="Calibri" w:cs="Calibri" w:eastAsia="Calibri" w:hAnsi="Calibri"/>
                <w:i/>
                <w:iCs/>
                <w:color w:val="5A616B"/>
                <w:sz w:val="16"/>
                <w:szCs w:val="16"/>
              </w:rPr>
              <w:t xml:space="preserve">Fire protection services</w:t>
            </w:r>
          </w:p>
        </w:tc>
        <w:tc>
          <w:tcPr>
            <w:tcW w:type="dxa" w:w="1800"/>
            <w:shd w:fill="EBF5FB" w:val="clear"/>
          </w:tcPr>
          <w:p>
            <w:pPr>
              <w:spacing w:after="40" w:before="40"/>
            </w:pPr>
            <w:r>
              <w:rPr>
                <w:rFonts w:ascii="Courier New" w:cs="Courier New" w:eastAsia="Courier New" w:hAnsi="Courier New"/>
                <w:b/>
                <w:bCs/>
                <w:color w:val="1A5276"/>
                <w:sz w:val="18"/>
                <w:szCs w:val="18"/>
              </w:rPr>
              <w:t xml:space="preserve">Q3-</w:t>
            </w:r>
          </w:p>
        </w:tc>
        <w:tc>
          <w:tcPr>
            <w:tcW w:type="dxa" w:w="300"/>
            <w:shd w:fill="EBF5FB" w:val="clear"/>
          </w:tcPr>
          <w:p>
            <w:pPr>
              <w:spacing w:after="40" w:before="40"/>
              <w:jc w:val="center"/>
            </w:pPr>
            <w:r>
              <w:rPr>
                <w:rFonts w:ascii="Calibri" w:cs="Calibri" w:eastAsia="Calibri" w:hAnsi="Calibri"/>
                <w:sz w:val="18"/>
                <w:szCs w:val="18"/>
              </w:rPr>
              <w:t xml:space="preserve">□</w:t>
            </w:r>
          </w:p>
        </w:tc>
        <w:tc>
          <w:tcPr>
            <w:tcW w:type="dxa" w:w="2300"/>
            <w:shd w:fill="EBF5FB" w:val="clear"/>
          </w:tcPr>
          <w:p>
            <w:pPr>
              <w:spacing w:after="40" w:before="40"/>
            </w:pPr>
            <w:r>
              <w:rPr>
                <w:rFonts w:ascii="Courier New" w:cs="Courier New" w:eastAsia="Courier New" w:hAnsi="Courier New"/>
                <w:color w:val="5A616B"/>
                <w:sz w:val="18"/>
                <w:szCs w:val="18"/>
              </w:rPr>
              <w:t xml:space="preserve">Q3-___________</w:t>
            </w:r>
          </w:p>
        </w:tc>
        <w:tc>
          <w:tcPr>
            <w:tcW w:type="dxa" w:w="2940"/>
            <w:shd w:fill="EBF5FB" w:val="clear"/>
          </w:tcPr>
          <w:p>
            <w:pPr>
              <w:spacing w:after="40" w:before="40"/>
            </w:pPr>
            <w:r>
              <w:rPr>
                <w:rFonts w:ascii="Calibri" w:cs="Calibri" w:eastAsia="Calibri" w:hAnsi="Calibri"/>
                <w:sz w:val="18"/>
                <w:szCs w:val="18"/>
              </w:rPr>
              <w:t xml:space="preserve">$</w:t>
            </w:r>
          </w:p>
        </w:tc>
      </w:tr>
      <w:tr>
        <w:tc>
          <w:tcPr>
            <w:tcW w:type="dxa" w:w="2200"/>
            <w:shd w:fill="FFFFFF" w:val="clear"/>
          </w:tcPr>
          <w:p>
            <w:pPr>
              <w:spacing w:after="20" w:before="40"/>
            </w:pPr>
            <w:r>
              <w:rPr>
                <w:rFonts w:ascii="Calibri" w:cs="Calibri" w:eastAsia="Calibri" w:hAnsi="Calibri"/>
                <w:b/>
                <w:bCs/>
                <w:sz w:val="18"/>
                <w:szCs w:val="18"/>
              </w:rPr>
              <w:t xml:space="preserve">ALLPro Stainless &amp; Metal Fabrication</w:t>
            </w:r>
          </w:p>
          <w:p>
            <w:pPr>
              <w:spacing w:after="40" w:before="0"/>
            </w:pPr>
            <w:r>
              <w:rPr>
                <w:rFonts w:ascii="Calibri" w:cs="Calibri" w:eastAsia="Calibri" w:hAnsi="Calibri"/>
                <w:i/>
                <w:iCs/>
                <w:color w:val="5A616B"/>
                <w:sz w:val="16"/>
                <w:szCs w:val="16"/>
              </w:rPr>
              <w:t xml:space="preserve">Hood fabrication &amp; installation</w:t>
            </w:r>
          </w:p>
        </w:tc>
        <w:tc>
          <w:tcPr>
            <w:tcW w:type="dxa" w:w="1800"/>
            <w:shd w:fill="FFFFFF" w:val="clear"/>
          </w:tcPr>
          <w:p>
            <w:pPr>
              <w:spacing w:after="40" w:before="40"/>
            </w:pPr>
            <w:r>
              <w:rPr>
                <w:rFonts w:ascii="Courier New" w:cs="Courier New" w:eastAsia="Courier New" w:hAnsi="Courier New"/>
                <w:b/>
                <w:bCs/>
                <w:color w:val="1A5276"/>
                <w:sz w:val="18"/>
                <w:szCs w:val="18"/>
              </w:rPr>
              <w:t xml:space="preserve">ALP-</w:t>
            </w:r>
          </w:p>
        </w:tc>
        <w:tc>
          <w:tcPr>
            <w:tcW w:type="dxa" w:w="300"/>
            <w:shd w:fill="FFFFFF" w:val="clear"/>
          </w:tcPr>
          <w:p>
            <w:pPr>
              <w:spacing w:after="40" w:before="40"/>
              <w:jc w:val="center"/>
            </w:pPr>
            <w:r>
              <w:rPr>
                <w:rFonts w:ascii="Calibri" w:cs="Calibri" w:eastAsia="Calibri" w:hAnsi="Calibri"/>
                <w:sz w:val="18"/>
                <w:szCs w:val="18"/>
              </w:rPr>
              <w:t xml:space="preserve">□</w:t>
            </w:r>
          </w:p>
        </w:tc>
        <w:tc>
          <w:tcPr>
            <w:tcW w:type="dxa" w:w="2300"/>
            <w:shd w:fill="FFFFFF" w:val="clear"/>
          </w:tcPr>
          <w:p>
            <w:pPr>
              <w:spacing w:after="40" w:before="40"/>
            </w:pPr>
            <w:r>
              <w:rPr>
                <w:rFonts w:ascii="Courier New" w:cs="Courier New" w:eastAsia="Courier New" w:hAnsi="Courier New"/>
                <w:color w:val="5A616B"/>
                <w:sz w:val="18"/>
                <w:szCs w:val="18"/>
              </w:rPr>
              <w:t xml:space="preserve">ALP-___________</w:t>
            </w:r>
          </w:p>
        </w:tc>
        <w:tc>
          <w:tcPr>
            <w:tcW w:type="dxa" w:w="2940"/>
            <w:shd w:fill="FFFFFF" w:val="clear"/>
          </w:tcPr>
          <w:p>
            <w:pPr>
              <w:spacing w:after="40" w:before="40"/>
            </w:pPr>
            <w:r>
              <w:rPr>
                <w:rFonts w:ascii="Calibri" w:cs="Calibri" w:eastAsia="Calibri" w:hAnsi="Calibri"/>
                <w:sz w:val="18"/>
                <w:szCs w:val="18"/>
              </w:rPr>
              <w:t xml:space="preserve">$</w:t>
            </w:r>
          </w:p>
        </w:tc>
      </w:tr>
      <w:tr>
        <w:tc>
          <w:tcPr>
            <w:tcW w:type="dxa" w:w="2200"/>
            <w:shd w:fill="EBF5FB" w:val="clear"/>
          </w:tcPr>
          <w:p>
            <w:pPr>
              <w:spacing w:after="20" w:before="40"/>
            </w:pPr>
            <w:r>
              <w:rPr>
                <w:rFonts w:ascii="Calibri" w:cs="Calibri" w:eastAsia="Calibri" w:hAnsi="Calibri"/>
                <w:b/>
                <w:bCs/>
                <w:sz w:val="18"/>
                <w:szCs w:val="18"/>
              </w:rPr>
              <w:t xml:space="preserve">Filter Man Inc.</w:t>
            </w:r>
          </w:p>
          <w:p>
            <w:pPr>
              <w:spacing w:after="40" w:before="0"/>
            </w:pPr>
            <w:r>
              <w:rPr>
                <w:rFonts w:ascii="Calibri" w:cs="Calibri" w:eastAsia="Calibri" w:hAnsi="Calibri"/>
                <w:i/>
                <w:iCs/>
                <w:color w:val="5A616B"/>
                <w:sz w:val="16"/>
                <w:szCs w:val="16"/>
              </w:rPr>
              <w:t xml:space="preserve">Hood filter exchange &amp; cleaning</w:t>
            </w:r>
          </w:p>
        </w:tc>
        <w:tc>
          <w:tcPr>
            <w:tcW w:type="dxa" w:w="1800"/>
            <w:shd w:fill="EBF5FB" w:val="clear"/>
          </w:tcPr>
          <w:p>
            <w:pPr>
              <w:spacing w:after="40" w:before="40"/>
            </w:pPr>
            <w:r>
              <w:rPr>
                <w:rFonts w:ascii="Courier New" w:cs="Courier New" w:eastAsia="Courier New" w:hAnsi="Courier New"/>
                <w:b/>
                <w:bCs/>
                <w:color w:val="1A5276"/>
                <w:sz w:val="18"/>
                <w:szCs w:val="18"/>
              </w:rPr>
              <w:t xml:space="preserve">FLM-</w:t>
            </w:r>
          </w:p>
        </w:tc>
        <w:tc>
          <w:tcPr>
            <w:tcW w:type="dxa" w:w="300"/>
            <w:shd w:fill="EBF5FB" w:val="clear"/>
          </w:tcPr>
          <w:p>
            <w:pPr>
              <w:spacing w:after="40" w:before="40"/>
              <w:jc w:val="center"/>
            </w:pPr>
            <w:r>
              <w:rPr>
                <w:rFonts w:ascii="Calibri" w:cs="Calibri" w:eastAsia="Calibri" w:hAnsi="Calibri"/>
                <w:sz w:val="18"/>
                <w:szCs w:val="18"/>
              </w:rPr>
              <w:t xml:space="preserve">□</w:t>
            </w:r>
          </w:p>
        </w:tc>
        <w:tc>
          <w:tcPr>
            <w:tcW w:type="dxa" w:w="2300"/>
            <w:shd w:fill="EBF5FB" w:val="clear"/>
          </w:tcPr>
          <w:p>
            <w:pPr>
              <w:spacing w:after="40" w:before="40"/>
            </w:pPr>
            <w:r>
              <w:rPr>
                <w:rFonts w:ascii="Courier New" w:cs="Courier New" w:eastAsia="Courier New" w:hAnsi="Courier New"/>
                <w:color w:val="5A616B"/>
                <w:sz w:val="18"/>
                <w:szCs w:val="18"/>
              </w:rPr>
              <w:t xml:space="preserve">FLM-___________</w:t>
            </w:r>
          </w:p>
        </w:tc>
        <w:tc>
          <w:tcPr>
            <w:tcW w:type="dxa" w:w="2940"/>
            <w:shd w:fill="EBF5FB" w:val="clear"/>
          </w:tcPr>
          <w:p>
            <w:pPr>
              <w:spacing w:after="40" w:before="40"/>
            </w:pPr>
            <w:r>
              <w:rPr>
                <w:rFonts w:ascii="Calibri" w:cs="Calibri" w:eastAsia="Calibri" w:hAnsi="Calibri"/>
                <w:sz w:val="18"/>
                <w:szCs w:val="18"/>
              </w:rPr>
              <w:t xml:space="preserve">$</w:t>
            </w:r>
          </w:p>
        </w:tc>
      </w:tr>
      <w:tr>
        <w:tc>
          <w:tcPr>
            <w:tcW w:type="dxa" w:w="2200"/>
            <w:shd w:fill="FFFFFF" w:val="clear"/>
          </w:tcPr>
          <w:p>
            <w:pPr>
              <w:spacing w:after="20" w:before="40"/>
            </w:pPr>
            <w:r>
              <w:rPr>
                <w:rFonts w:ascii="Calibri" w:cs="Calibri" w:eastAsia="Calibri" w:hAnsi="Calibri"/>
                <w:b/>
                <w:bCs/>
                <w:sz w:val="18"/>
                <w:szCs w:val="18"/>
              </w:rPr>
              <w:t xml:space="preserve">GTO Grease Trap Services</w:t>
            </w:r>
          </w:p>
          <w:p>
            <w:pPr>
              <w:spacing w:after="40" w:before="0"/>
            </w:pPr>
            <w:r>
              <w:rPr>
                <w:rFonts w:ascii="Calibri" w:cs="Calibri" w:eastAsia="Calibri" w:hAnsi="Calibri"/>
                <w:i/>
                <w:iCs/>
                <w:color w:val="5A616B"/>
                <w:sz w:val="16"/>
                <w:szCs w:val="16"/>
              </w:rPr>
              <w:t xml:space="preserve">Grease trap &amp; FOG compliance</w:t>
            </w:r>
          </w:p>
        </w:tc>
        <w:tc>
          <w:tcPr>
            <w:tcW w:type="dxa" w:w="1800"/>
            <w:shd w:fill="FFFFFF" w:val="clear"/>
          </w:tcPr>
          <w:p>
            <w:pPr>
              <w:spacing w:after="40" w:before="40"/>
            </w:pPr>
            <w:r>
              <w:rPr>
                <w:rFonts w:ascii="Courier New" w:cs="Courier New" w:eastAsia="Courier New" w:hAnsi="Courier New"/>
                <w:b/>
                <w:bCs/>
                <w:color w:val="1A5276"/>
                <w:sz w:val="18"/>
                <w:szCs w:val="18"/>
              </w:rPr>
              <w:t xml:space="preserve">GTO-</w:t>
            </w:r>
          </w:p>
        </w:tc>
        <w:tc>
          <w:tcPr>
            <w:tcW w:type="dxa" w:w="300"/>
            <w:shd w:fill="FFFFFF" w:val="clear"/>
          </w:tcPr>
          <w:p>
            <w:pPr>
              <w:spacing w:after="40" w:before="40"/>
              <w:jc w:val="center"/>
            </w:pPr>
            <w:r>
              <w:rPr>
                <w:rFonts w:ascii="Calibri" w:cs="Calibri" w:eastAsia="Calibri" w:hAnsi="Calibri"/>
                <w:sz w:val="18"/>
                <w:szCs w:val="18"/>
              </w:rPr>
              <w:t xml:space="preserve">□</w:t>
            </w:r>
          </w:p>
        </w:tc>
        <w:tc>
          <w:tcPr>
            <w:tcW w:type="dxa" w:w="2300"/>
            <w:shd w:fill="FFFFFF" w:val="clear"/>
          </w:tcPr>
          <w:p>
            <w:pPr>
              <w:spacing w:after="40" w:before="40"/>
            </w:pPr>
            <w:r>
              <w:rPr>
                <w:rFonts w:ascii="Courier New" w:cs="Courier New" w:eastAsia="Courier New" w:hAnsi="Courier New"/>
                <w:color w:val="5A616B"/>
                <w:sz w:val="18"/>
                <w:szCs w:val="18"/>
              </w:rPr>
              <w:t xml:space="preserve">GTO-___________</w:t>
            </w:r>
          </w:p>
        </w:tc>
        <w:tc>
          <w:tcPr>
            <w:tcW w:type="dxa" w:w="2940"/>
            <w:shd w:fill="FFFFFF" w:val="clear"/>
          </w:tcPr>
          <w:p>
            <w:pPr>
              <w:spacing w:after="40" w:before="40"/>
            </w:pPr>
            <w:r>
              <w:rPr>
                <w:rFonts w:ascii="Calibri" w:cs="Calibri" w:eastAsia="Calibri" w:hAnsi="Calibri"/>
                <w:sz w:val="18"/>
                <w:szCs w:val="18"/>
              </w:rPr>
              <w:t xml:space="preserve">$</w:t>
            </w:r>
          </w:p>
        </w:tc>
      </w:tr>
      <w:tr>
        <w:tc>
          <w:tcPr>
            <w:tcW w:type="dxa" w:w="2200"/>
            <w:shd w:fill="EBF5FB" w:val="clear"/>
          </w:tcPr>
          <w:p>
            <w:pPr>
              <w:spacing w:after="20" w:before="40"/>
            </w:pPr>
            <w:r>
              <w:rPr>
                <w:rFonts w:ascii="Calibri" w:cs="Calibri" w:eastAsia="Calibri" w:hAnsi="Calibri"/>
                <w:b/>
                <w:bCs/>
                <w:sz w:val="18"/>
                <w:szCs w:val="18"/>
              </w:rPr>
              <w:t xml:space="preserve">Termac Corporation</w:t>
            </w:r>
          </w:p>
          <w:p>
            <w:pPr>
              <w:spacing w:after="40" w:before="0"/>
            </w:pPr>
            <w:r>
              <w:rPr>
                <w:rFonts w:ascii="Calibri" w:cs="Calibri" w:eastAsia="Calibri" w:hAnsi="Calibri"/>
                <w:i/>
                <w:iCs/>
                <w:color w:val="5A616B"/>
                <w:sz w:val="16"/>
                <w:szCs w:val="16"/>
              </w:rPr>
              <w:t xml:space="preserve">Dish machines &amp; chemical supply</w:t>
            </w:r>
          </w:p>
        </w:tc>
        <w:tc>
          <w:tcPr>
            <w:tcW w:type="dxa" w:w="1800"/>
            <w:shd w:fill="EBF5FB" w:val="clear"/>
          </w:tcPr>
          <w:p>
            <w:pPr>
              <w:spacing w:after="40" w:before="40"/>
            </w:pPr>
            <w:r>
              <w:rPr>
                <w:rFonts w:ascii="Courier New" w:cs="Courier New" w:eastAsia="Courier New" w:hAnsi="Courier New"/>
                <w:b/>
                <w:bCs/>
                <w:color w:val="1A5276"/>
                <w:sz w:val="18"/>
                <w:szCs w:val="18"/>
              </w:rPr>
              <w:t xml:space="preserve">TRM-</w:t>
            </w:r>
          </w:p>
        </w:tc>
        <w:tc>
          <w:tcPr>
            <w:tcW w:type="dxa" w:w="300"/>
            <w:shd w:fill="EBF5FB" w:val="clear"/>
          </w:tcPr>
          <w:p>
            <w:pPr>
              <w:spacing w:after="40" w:before="40"/>
              <w:jc w:val="center"/>
            </w:pPr>
            <w:r>
              <w:rPr>
                <w:rFonts w:ascii="Calibri" w:cs="Calibri" w:eastAsia="Calibri" w:hAnsi="Calibri"/>
                <w:sz w:val="18"/>
                <w:szCs w:val="18"/>
              </w:rPr>
              <w:t xml:space="preserve">□</w:t>
            </w:r>
          </w:p>
        </w:tc>
        <w:tc>
          <w:tcPr>
            <w:tcW w:type="dxa" w:w="2300"/>
            <w:shd w:fill="EBF5FB" w:val="clear"/>
          </w:tcPr>
          <w:p>
            <w:pPr>
              <w:spacing w:after="40" w:before="40"/>
            </w:pPr>
            <w:r>
              <w:rPr>
                <w:rFonts w:ascii="Courier New" w:cs="Courier New" w:eastAsia="Courier New" w:hAnsi="Courier New"/>
                <w:color w:val="5A616B"/>
                <w:sz w:val="18"/>
                <w:szCs w:val="18"/>
              </w:rPr>
              <w:t xml:space="preserve">TRM-___________</w:t>
            </w:r>
          </w:p>
        </w:tc>
        <w:tc>
          <w:tcPr>
            <w:tcW w:type="dxa" w:w="2940"/>
            <w:shd w:fill="EBF5FB" w:val="clear"/>
          </w:tcPr>
          <w:p>
            <w:pPr>
              <w:spacing w:after="40" w:before="40"/>
            </w:pPr>
            <w:r>
              <w:rPr>
                <w:rFonts w:ascii="Calibri" w:cs="Calibri" w:eastAsia="Calibri" w:hAnsi="Calibri"/>
                <w:sz w:val="18"/>
                <w:szCs w:val="18"/>
              </w:rPr>
              <w:t xml:space="preserve">$</w:t>
            </w:r>
          </w:p>
        </w:tc>
      </w:tr>
    </w:tbl>
    <w:p>
      <w:pPr>
        <w:spacing w:after="0" w:before="160"/>
      </w:pPr>
      <w:r>
        <w:t xml:space="preserve"/>
      </w:r>
    </w:p>
    <w:p>
      <w:pPr>
        <w:spacing w:after="60" w:before="60"/>
        <w:jc w:val="left"/>
      </w:pPr>
      <w:r>
        <w:rPr>
          <w:rFonts w:ascii="Calibri" w:cs="Calibri" w:eastAsia="Calibri" w:hAnsi="Calibri"/>
          <w:i/>
          <w:iCs/>
          <w:color w:val="5A616B"/>
          <w:sz w:val="20"/>
          <w:szCs w:val="20"/>
        </w:rPr>
        <w:t xml:space="preserve">Note: Account IDs are assigned by the applicable division manager at account setup and are used on all invoices, work orders, and compliance documents for that division. A single client may carry active Account IDs under multiple divisions simultaneously.</w:t>
      </w:r>
    </w:p>
    <w:p>
      <w:pPr>
        <w:spacing w:after="80" w:before="280"/>
      </w:pPr>
      <w:r>
        <w:rPr>
          <w:rFonts w:ascii="Calibri" w:cs="Calibri" w:eastAsia="Calibri" w:hAnsi="Calibri"/>
          <w:b/>
          <w:bCs/>
          <w:color w:val="1A5276"/>
          <w:sz w:val="26"/>
          <w:szCs w:val="26"/>
        </w:rPr>
        <w:t xml:space="preserve">3. Services</w:t>
      </w:r>
    </w:p>
    <w:p>
      <w:pPr>
        <w:spacing w:after="60" w:before="60"/>
        <w:jc w:val="both"/>
      </w:pPr>
      <w:r>
        <w:rPr>
          <w:rFonts w:ascii="Calibri" w:cs="Calibri" w:eastAsia="Calibri" w:hAnsi="Calibri"/>
          <w:sz w:val="20"/>
          <w:szCs w:val="20"/>
        </w:rPr>
        <w:t xml:space="preserve">The Company shall provide the services selected in Section 2 and described in accompanying Work Orders and Division Scope documents, which are incorporated by reference. Services include but are not limited to:</w:t>
      </w:r>
    </w:p>
    <w:p>
      <w:pPr>
        <w:spacing w:after="40" w:before="40"/>
        <w:ind w:left="360"/>
      </w:pPr>
      <w:r>
        <w:rPr>
          <w:rFonts w:ascii="Calibri" w:cs="Calibri" w:eastAsia="Calibri" w:hAnsi="Calibri"/>
          <w:sz w:val="20"/>
          <w:szCs w:val="20"/>
        </w:rPr>
        <w:t xml:space="preserve">•  Fire suppression system inspection, testing, and maintenance per NFPA 17A, NFPA 96, and applicable local codes (UNI, Q3)</w:t>
      </w:r>
    </w:p>
    <w:p>
      <w:pPr>
        <w:spacing w:after="40" w:before="40"/>
        <w:ind w:left="360"/>
      </w:pPr>
      <w:r>
        <w:rPr>
          <w:rFonts w:ascii="Calibri" w:cs="Calibri" w:eastAsia="Calibri" w:hAnsi="Calibri"/>
          <w:sz w:val="20"/>
          <w:szCs w:val="20"/>
        </w:rPr>
        <w:t xml:space="preserve">•  Grease trap cleaning and FOG (fats, oils, grease) compliance services (GTO)</w:t>
      </w:r>
    </w:p>
    <w:p>
      <w:pPr>
        <w:spacing w:after="40" w:before="40"/>
        <w:ind w:left="360"/>
      </w:pPr>
      <w:r>
        <w:rPr>
          <w:rFonts w:ascii="Calibri" w:cs="Calibri" w:eastAsia="Calibri" w:hAnsi="Calibri"/>
          <w:sz w:val="20"/>
          <w:szCs w:val="20"/>
        </w:rPr>
        <w:t xml:space="preserve">•  Commercial kitchen hood filter exchange and cleaning (FLM)</w:t>
      </w:r>
    </w:p>
    <w:p>
      <w:pPr>
        <w:spacing w:after="40" w:before="40"/>
        <w:ind w:left="360"/>
      </w:pPr>
      <w:r>
        <w:rPr>
          <w:rFonts w:ascii="Calibri" w:cs="Calibri" w:eastAsia="Calibri" w:hAnsi="Calibri"/>
          <w:sz w:val="20"/>
          <w:szCs w:val="20"/>
        </w:rPr>
        <w:t xml:space="preserve">•  Commercial stainless steel fabrication and kitchen hood installation (ALP)</w:t>
      </w:r>
    </w:p>
    <w:p>
      <w:pPr>
        <w:spacing w:after="40" w:before="40"/>
        <w:ind w:left="360"/>
      </w:pPr>
      <w:r>
        <w:rPr>
          <w:rFonts w:ascii="Calibri" w:cs="Calibri" w:eastAsia="Calibri" w:hAnsi="Calibri"/>
          <w:sz w:val="20"/>
          <w:szCs w:val="20"/>
        </w:rPr>
        <w:t xml:space="preserve">•  Dish machine installation, maintenance, and chemical supply (TRM)</w:t>
      </w:r>
    </w:p>
    <w:p>
      <w:pPr>
        <w:spacing w:after="40" w:before="40"/>
        <w:ind w:left="360"/>
      </w:pPr>
      <w:r>
        <w:rPr>
          <w:rFonts w:ascii="Calibri" w:cs="Calibri" w:eastAsia="Calibri" w:hAnsi="Calibri"/>
          <w:sz w:val="20"/>
          <w:szCs w:val="20"/>
        </w:rPr>
        <w:t xml:space="preserve">•  Portable fire extinguisher inspection, recharge, and replacement (UNI, Q3)</w:t>
      </w:r>
    </w:p>
    <w:p>
      <w:pPr>
        <w:spacing w:after="60" w:before="60"/>
        <w:jc w:val="both"/>
      </w:pPr>
      <w:r>
        <w:rPr>
          <w:rFonts w:ascii="Calibri" w:cs="Calibri" w:eastAsia="Calibri" w:hAnsi="Calibri"/>
          <w:sz w:val="20"/>
          <w:szCs w:val="20"/>
        </w:rPr>
        <w:t xml:space="preserve">The Company reserves the right to subcontract portions of the work to qualified, licensed subcontractors while retaining responsibility for the quality of all delivered services.</w:t>
      </w:r>
    </w:p>
    <w:p>
      <w:pPr>
        <w:spacing w:after="80" w:before="280"/>
      </w:pPr>
      <w:r>
        <w:rPr>
          <w:rFonts w:ascii="Calibri" w:cs="Calibri" w:eastAsia="Calibri" w:hAnsi="Calibri"/>
          <w:b/>
          <w:bCs/>
          <w:color w:val="1A5276"/>
          <w:sz w:val="26"/>
          <w:szCs w:val="26"/>
        </w:rPr>
        <w:t xml:space="preserve">4. Agreement Term, Renewal &amp; Billing</w:t>
      </w:r>
    </w:p>
    <w:p>
      <w:pPr>
        <w:spacing w:after="60" w:before="160"/>
      </w:pPr>
      <w:r>
        <w:rPr>
          <w:rFonts w:ascii="Calibri" w:cs="Calibri" w:eastAsia="Calibri" w:hAnsi="Calibri"/>
          <w:b/>
          <w:bCs/>
          <w:color w:val="1A5276"/>
          <w:sz w:val="22"/>
          <w:szCs w:val="22"/>
        </w:rPr>
        <w:t xml:space="preserve">4a. Term</w:t>
      </w:r>
    </w:p>
    <w:p>
      <w:pPr>
        <w:spacing w:after="60" w:before="60"/>
        <w:jc w:val="both"/>
      </w:pPr>
      <w:r>
        <w:rPr>
          <w:rFonts w:ascii="Calibri" w:cs="Calibri" w:eastAsia="Calibri" w:hAnsi="Calibri"/>
          <w:sz w:val="20"/>
          <w:szCs w:val="20"/>
        </w:rPr>
        <w:t xml:space="preserve">This Agreement is effective upon execution and shall remain in effect for the term selected in Section 1 (one (1) year or three (3) years). The Agreement shall automatically renew for successive one (1) year terms at the then-current service rates unless either party provides written notice of non-renewal no less than sixty (60) days prior to the expiration of the then-current term. The Company will provide written notice of any rate adjustment no less than sixty (60) days prior to renewal.</w:t>
      </w:r>
    </w:p>
    <w:p>
      <w:pPr>
        <w:spacing w:after="60" w:before="160"/>
      </w:pPr>
      <w:r>
        <w:rPr>
          <w:rFonts w:ascii="Calibri" w:cs="Calibri" w:eastAsia="Calibri" w:hAnsi="Calibri"/>
          <w:b/>
          <w:bCs/>
          <w:color w:val="1A5276"/>
          <w:sz w:val="22"/>
          <w:szCs w:val="22"/>
        </w:rPr>
        <w:t xml:space="preserve">4b. Billing &amp; Payment</w:t>
      </w:r>
    </w:p>
    <w:p>
      <w:pPr>
        <w:spacing w:after="60" w:before="60"/>
        <w:jc w:val="both"/>
      </w:pPr>
      <w:r>
        <w:rPr>
          <w:rFonts w:ascii="Calibri" w:cs="Calibri" w:eastAsia="Calibri" w:hAnsi="Calibri"/>
          <w:sz w:val="20"/>
          <w:szCs w:val="20"/>
        </w:rPr>
        <w:t xml:space="preserve">Fees are billed per the cadence selected in Section 1. Payment is due within fifteen (15) days of invoice date for monthly and quarterly billing. For annual prepay, full payment is due upon execution. Accepted payment methods:</w:t>
      </w:r>
    </w:p>
    <w:p>
      <w:pPr>
        <w:spacing w:after="40" w:before="40"/>
        <w:ind w:left="360"/>
      </w:pPr>
      <w:r>
        <w:rPr>
          <w:rFonts w:ascii="Calibri" w:cs="Calibri" w:eastAsia="Calibri" w:hAnsi="Calibri"/>
          <w:sz w:val="20"/>
          <w:szCs w:val="20"/>
        </w:rPr>
        <w:t xml:space="preserve">•  Credit or debit card on file via Square (required for all annual/multi-year agreements)</w:t>
      </w:r>
    </w:p>
    <w:p>
      <w:pPr>
        <w:spacing w:after="40" w:before="40"/>
        <w:ind w:left="360"/>
      </w:pPr>
      <w:r>
        <w:rPr>
          <w:rFonts w:ascii="Calibri" w:cs="Calibri" w:eastAsia="Calibri" w:hAnsi="Calibri"/>
          <w:sz w:val="20"/>
          <w:szCs w:val="20"/>
        </w:rPr>
        <w:t xml:space="preserve">•  ACH / electronic bank transfer (contact billing@termac.com to enroll)</w:t>
      </w:r>
    </w:p>
    <w:p>
      <w:pPr>
        <w:spacing w:after="40" w:before="40"/>
        <w:ind w:left="360"/>
      </w:pPr>
      <w:r>
        <w:rPr>
          <w:rFonts w:ascii="Calibri" w:cs="Calibri" w:eastAsia="Calibri" w:hAnsi="Calibri"/>
          <w:sz w:val="20"/>
          <w:szCs w:val="20"/>
        </w:rPr>
        <w:t xml:space="preserve">•  Check payable to the applicable Termac division company</w:t>
      </w:r>
    </w:p>
    <w:p>
      <w:pPr>
        <w:spacing w:after="60" w:before="60"/>
        <w:jc w:val="both"/>
      </w:pPr>
      <w:r>
        <w:rPr>
          <w:rFonts w:ascii="Calibri" w:cs="Calibri" w:eastAsia="Calibri" w:hAnsi="Calibri"/>
          <w:sz w:val="20"/>
          <w:szCs w:val="20"/>
        </w:rPr>
        <w:t xml:space="preserve">Accounts thirty (30) or more days past due are subject to a finance charge of one and one-half percent (1.5%) per month on the outstanding balance. Accounts sixty (60) or more days past due may result in suspension of all services across all contracted divisions until the account is brought current. Client is responsible for all reasonable collection costs and attorneys’ fees incurred in collecting overdue balances.</w:t>
      </w:r>
    </w:p>
    <w:p>
      <w:pPr>
        <w:spacing w:after="60" w:before="160"/>
      </w:pPr>
      <w:r>
        <w:rPr>
          <w:rFonts w:ascii="Calibri" w:cs="Calibri" w:eastAsia="Calibri" w:hAnsi="Calibri"/>
          <w:b/>
          <w:bCs/>
          <w:color w:val="1A5276"/>
          <w:sz w:val="22"/>
          <w:szCs w:val="22"/>
        </w:rPr>
        <w:t xml:space="preserve">4c. Price Adjustments</w:t>
      </w:r>
    </w:p>
    <w:p>
      <w:pPr>
        <w:spacing w:after="60" w:before="60"/>
        <w:jc w:val="both"/>
      </w:pPr>
      <w:r>
        <w:rPr>
          <w:rFonts w:ascii="Calibri" w:cs="Calibri" w:eastAsia="Calibri" w:hAnsi="Calibri"/>
          <w:sz w:val="20"/>
          <w:szCs w:val="20"/>
        </w:rPr>
        <w:t xml:space="preserve">The Company reserves the right to adjust pricing annually upon renewal. For multi-year agreements, pricing is fixed for the contracted term unless Client requests a material change in scope.</w:t>
      </w:r>
    </w:p>
    <w:p>
      <w:pPr>
        <w:spacing w:after="80" w:before="280"/>
      </w:pPr>
      <w:r>
        <w:rPr>
          <w:rFonts w:ascii="Calibri" w:cs="Calibri" w:eastAsia="Calibri" w:hAnsi="Calibri"/>
          <w:b/>
          <w:bCs/>
          <w:color w:val="1A5276"/>
          <w:sz w:val="26"/>
          <w:szCs w:val="26"/>
        </w:rPr>
        <w:t xml:space="preserve">5. Cancellation &amp; Early Termination</w:t>
      </w:r>
    </w:p>
    <w:p>
      <w:pPr>
        <w:spacing w:after="60" w:before="60"/>
        <w:jc w:val="both"/>
      </w:pPr>
      <w:r>
        <w:rPr>
          <w:rFonts w:ascii="Calibri" w:cs="Calibri" w:eastAsia="Calibri" w:hAnsi="Calibri"/>
          <w:sz w:val="20"/>
          <w:szCs w:val="20"/>
        </w:rPr>
        <w:t xml:space="preserve">Either party may terminate this Agreement upon thirty (30) days’ written notice. If Client terminates a fixed-term agreement prior to its natural expiration, Client shall pay an early termination fee equal to twenty-five percent (25%) of the remaining contract value across all contracted divisions. The Company may terminate immediately upon:</w:t>
      </w:r>
    </w:p>
    <w:p>
      <w:pPr>
        <w:spacing w:after="40" w:before="40"/>
        <w:ind w:left="360"/>
      </w:pPr>
      <w:r>
        <w:rPr>
          <w:rFonts w:ascii="Calibri" w:cs="Calibri" w:eastAsia="Calibri" w:hAnsi="Calibri"/>
          <w:sz w:val="20"/>
          <w:szCs w:val="20"/>
        </w:rPr>
        <w:t xml:space="preserve">•  Client’s failure to pay any amount due within thirty (30) days of written notice of delinquency</w:t>
      </w:r>
    </w:p>
    <w:p>
      <w:pPr>
        <w:spacing w:after="40" w:before="40"/>
        <w:ind w:left="360"/>
      </w:pPr>
      <w:r>
        <w:rPr>
          <w:rFonts w:ascii="Calibri" w:cs="Calibri" w:eastAsia="Calibri" w:hAnsi="Calibri"/>
          <w:sz w:val="20"/>
          <w:szCs w:val="20"/>
        </w:rPr>
        <w:t xml:space="preserve">•  Client’s material breach of any provision of this Agreement</w:t>
      </w:r>
    </w:p>
    <w:p>
      <w:pPr>
        <w:spacing w:after="40" w:before="40"/>
        <w:ind w:left="360"/>
      </w:pPr>
      <w:r>
        <w:rPr>
          <w:rFonts w:ascii="Calibri" w:cs="Calibri" w:eastAsia="Calibri" w:hAnsi="Calibri"/>
          <w:sz w:val="20"/>
          <w:szCs w:val="20"/>
        </w:rPr>
        <w:t xml:space="preserve">•  Client’s insolvency, bankruptcy, or assignment for the benefit of creditors</w:t>
      </w:r>
    </w:p>
    <w:p>
      <w:pPr>
        <w:spacing w:after="40" w:before="40"/>
        <w:ind w:left="360"/>
      </w:pPr>
      <w:r>
        <w:rPr>
          <w:rFonts w:ascii="Calibri" w:cs="Calibri" w:eastAsia="Calibri" w:hAnsi="Calibri"/>
          <w:sz w:val="20"/>
          <w:szCs w:val="20"/>
        </w:rPr>
        <w:t xml:space="preserve">•  Unsafe or hazardous conditions at the service location that pose risk to Company personnel</w:t>
      </w:r>
    </w:p>
    <w:p>
      <w:pPr>
        <w:spacing w:after="80" w:before="280"/>
      </w:pPr>
      <w:r>
        <w:rPr>
          <w:rFonts w:ascii="Calibri" w:cs="Calibri" w:eastAsia="Calibri" w:hAnsi="Calibri"/>
          <w:b/>
          <w:bCs/>
          <w:color w:val="1A5276"/>
          <w:sz w:val="26"/>
          <w:szCs w:val="26"/>
        </w:rPr>
        <w:t xml:space="preserve">6. Regulatory Compliance</w:t>
      </w:r>
    </w:p>
    <w:p>
      <w:pPr>
        <w:spacing w:after="60" w:before="60"/>
        <w:jc w:val="both"/>
      </w:pPr>
      <w:r>
        <w:rPr>
          <w:rFonts w:ascii="Calibri" w:cs="Calibri" w:eastAsia="Calibri" w:hAnsi="Calibri"/>
          <w:sz w:val="20"/>
          <w:szCs w:val="20"/>
        </w:rPr>
        <w:t xml:space="preserve">The Company shall perform all services in accordance with applicable NFPA standards, local fire codes, and Authority Having Jurisdiction (AHJ) requirements in Pennsylvania, New Jersey, Delaware, Maryland, Virginia, and the District of Columbia. Client acknowledges and agrees that:</w:t>
      </w:r>
    </w:p>
    <w:p>
      <w:pPr>
        <w:spacing w:after="40" w:before="40"/>
        <w:ind w:left="360"/>
      </w:pPr>
      <w:r>
        <w:rPr>
          <w:rFonts w:ascii="Calibri" w:cs="Calibri" w:eastAsia="Calibri" w:hAnsi="Calibri"/>
          <w:sz w:val="20"/>
          <w:szCs w:val="20"/>
        </w:rPr>
        <w:t xml:space="preserve">•  Maintaining fire safety and grease management systems in compliance with applicable codes is the legal responsibility of the Client as the facility operator</w:t>
      </w:r>
    </w:p>
    <w:p>
      <w:pPr>
        <w:spacing w:after="40" w:before="40"/>
        <w:ind w:left="360"/>
      </w:pPr>
      <w:r>
        <w:rPr>
          <w:rFonts w:ascii="Calibri" w:cs="Calibri" w:eastAsia="Calibri" w:hAnsi="Calibri"/>
          <w:sz w:val="20"/>
          <w:szCs w:val="20"/>
        </w:rPr>
        <w:t xml:space="preserve">•  Client is responsible for ensuring the facility remains in compliance between scheduled service visits</w:t>
      </w:r>
    </w:p>
    <w:p>
      <w:pPr>
        <w:spacing w:after="40" w:before="40"/>
        <w:ind w:left="360"/>
      </w:pPr>
      <w:r>
        <w:rPr>
          <w:rFonts w:ascii="Calibri" w:cs="Calibri" w:eastAsia="Calibri" w:hAnsi="Calibri"/>
          <w:sz w:val="20"/>
          <w:szCs w:val="20"/>
        </w:rPr>
        <w:t xml:space="preserve">•  Client must promptly notify the Company of any system activation, alarm, failure, or observable malfunction</w:t>
      </w:r>
    </w:p>
    <w:p>
      <w:pPr>
        <w:spacing w:after="40" w:before="40"/>
        <w:ind w:left="360"/>
      </w:pPr>
      <w:r>
        <w:rPr>
          <w:rFonts w:ascii="Calibri" w:cs="Calibri" w:eastAsia="Calibri" w:hAnsi="Calibri"/>
          <w:sz w:val="20"/>
          <w:szCs w:val="20"/>
        </w:rPr>
        <w:t xml:space="preserve">•  Client must act on documented deficiencies within the timeframe specified by the applicable code, AHJ, or local fire marshal</w:t>
      </w:r>
    </w:p>
    <w:p>
      <w:pPr>
        <w:spacing w:after="40" w:before="40"/>
        <w:ind w:left="360"/>
      </w:pPr>
      <w:r>
        <w:rPr>
          <w:rFonts w:ascii="Calibri" w:cs="Calibri" w:eastAsia="Calibri" w:hAnsi="Calibri"/>
          <w:sz w:val="20"/>
          <w:szCs w:val="20"/>
        </w:rPr>
        <w:t xml:space="preserve">•  Failure to address documented deficiencies may result in citations, fines, or permit revocation, for which the Company bears no responsibility</w:t>
      </w:r>
    </w:p>
    <w:p>
      <w:pPr>
        <w:spacing w:after="60" w:before="60"/>
        <w:jc w:val="both"/>
      </w:pPr>
      <w:r>
        <w:rPr>
          <w:rFonts w:ascii="Calibri" w:cs="Calibri" w:eastAsia="Calibri" w:hAnsi="Calibri"/>
          <w:sz w:val="20"/>
          <w:szCs w:val="20"/>
        </w:rPr>
        <w:t xml:space="preserve">Compliance certificates will be issued by the applicable division following satisfactory inspection and should be retained by Client and made available to health departments, fire marshals, and insurance carriers upon request.</w:t>
      </w:r>
    </w:p>
    <w:p>
      <w:pPr>
        <w:spacing w:after="80" w:before="280"/>
      </w:pPr>
      <w:r>
        <w:rPr>
          <w:rFonts w:ascii="Calibri" w:cs="Calibri" w:eastAsia="Calibri" w:hAnsi="Calibri"/>
          <w:b/>
          <w:bCs/>
          <w:color w:val="1A5276"/>
          <w:sz w:val="26"/>
          <w:szCs w:val="26"/>
        </w:rPr>
        <w:t xml:space="preserve">7. Permitting, Site Readiness &amp; Subcontracted Services (ALP)</w:t>
      </w:r>
    </w:p>
    <w:p>
      <w:pPr>
        <w:spacing w:after="60" w:before="60"/>
        <w:jc w:val="both"/>
      </w:pPr>
      <w:r>
        <w:rPr>
          <w:rFonts w:ascii="Calibri" w:cs="Calibri" w:eastAsia="Calibri" w:hAnsi="Calibri"/>
          <w:sz w:val="20"/>
          <w:szCs w:val="20"/>
        </w:rPr>
        <w:t xml:space="preserve">This section applies specifically to services provided by ALLPro Stainless &amp; Metal Fabrication (ALP).</w:t>
      </w:r>
    </w:p>
    <w:p>
      <w:pPr>
        <w:spacing w:after="60" w:before="160"/>
      </w:pPr>
      <w:r>
        <w:rPr>
          <w:rFonts w:ascii="Calibri" w:cs="Calibri" w:eastAsia="Calibri" w:hAnsi="Calibri"/>
          <w:b/>
          <w:bCs/>
          <w:color w:val="1A5276"/>
          <w:sz w:val="22"/>
          <w:szCs w:val="22"/>
        </w:rPr>
        <w:t xml:space="preserve">7a. Permits &amp; Regulatory Fees</w:t>
      </w:r>
    </w:p>
    <w:p>
      <w:pPr>
        <w:spacing w:after="60" w:before="60"/>
        <w:jc w:val="both"/>
      </w:pPr>
      <w:r>
        <w:rPr>
          <w:rFonts w:ascii="Calibri" w:cs="Calibri" w:eastAsia="Calibri" w:hAnsi="Calibri"/>
          <w:sz w:val="20"/>
          <w:szCs w:val="20"/>
        </w:rPr>
        <w:t xml:space="preserve">Client is solely responsible for obtaining and paying for all permits, variances, architectural drawings, engineering stamps, and other approvals required by the local AHJ. Any fines, penalties, stop-work orders, or project delays resulting from Client’s failure to secure required permits are the sole financial and legal responsibility of the Client. Client agrees to indemnify and hold the Company harmless from any legal or financial liability arising from the lack of, or improper filing of, required project permits.</w:t>
      </w:r>
    </w:p>
    <w:p>
      <w:pPr>
        <w:spacing w:after="60" w:before="160"/>
      </w:pPr>
      <w:r>
        <w:rPr>
          <w:rFonts w:ascii="Calibri" w:cs="Calibri" w:eastAsia="Calibri" w:hAnsi="Calibri"/>
          <w:b/>
          <w:bCs/>
          <w:color w:val="1A5276"/>
          <w:sz w:val="22"/>
          <w:szCs w:val="22"/>
        </w:rPr>
        <w:t xml:space="preserve">7b. Scope of Work</w:t>
      </w:r>
    </w:p>
    <w:p>
      <w:pPr>
        <w:spacing w:after="60" w:before="60"/>
        <w:jc w:val="both"/>
      </w:pPr>
      <w:r>
        <w:rPr>
          <w:rFonts w:ascii="Calibri" w:cs="Calibri" w:eastAsia="Calibri" w:hAnsi="Calibri"/>
          <w:sz w:val="20"/>
          <w:szCs w:val="20"/>
        </w:rPr>
        <w:t xml:space="preserve">ALLPro (ALP) is engaged for fabrication and installation of the kitchen hood system and associated stainless steel components only. Electrical wiring, gas line work, plumbing, HVAC ductwork beyond the hood connection point, and all other trade work are excluded unless specifically listed in the Work Order.</w:t>
      </w:r>
    </w:p>
    <w:p>
      <w:pPr>
        <w:spacing w:after="60" w:before="160"/>
      </w:pPr>
      <w:r>
        <w:rPr>
          <w:rFonts w:ascii="Calibri" w:cs="Calibri" w:eastAsia="Calibri" w:hAnsi="Calibri"/>
          <w:b/>
          <w:bCs/>
          <w:color w:val="1A5276"/>
          <w:sz w:val="22"/>
          <w:szCs w:val="22"/>
        </w:rPr>
        <w:t xml:space="preserve">7c. Third-Party Trades &amp; Site Readiness</w:t>
      </w:r>
    </w:p>
    <w:p>
      <w:pPr>
        <w:spacing w:after="60" w:before="60"/>
        <w:jc w:val="both"/>
      </w:pPr>
      <w:r>
        <w:rPr>
          <w:rFonts w:ascii="Calibri" w:cs="Calibri" w:eastAsia="Calibri" w:hAnsi="Calibri"/>
          <w:sz w:val="20"/>
          <w:szCs w:val="20"/>
        </w:rPr>
        <w:t xml:space="preserve">Client is responsible for engaging, scheduling, and managing all required licensed subcontractors. Client must ensure the installation site is structurally sound and free from hazardous conditions prior to ALLPro’s scheduled arrival. If ALLPro personnel arrive and the site is not ready, the Company reserves the right to charge a re-mobilization fee as specified in the applicable Work Order. The Company shall not be liable for project delays, cost overruns, or damages arising from the failure of Client’s subcontractors to perform or coordinate.</w:t>
      </w:r>
    </w:p>
    <w:p>
      <w:pPr>
        <w:spacing w:after="80" w:before="280"/>
      </w:pPr>
      <w:r>
        <w:rPr>
          <w:rFonts w:ascii="Calibri" w:cs="Calibri" w:eastAsia="Calibri" w:hAnsi="Calibri"/>
          <w:b/>
          <w:bCs/>
          <w:color w:val="1A5276"/>
          <w:sz w:val="26"/>
          <w:szCs w:val="26"/>
        </w:rPr>
        <w:t xml:space="preserve">8. Indemnification</w:t>
      </w:r>
    </w:p>
    <w:p>
      <w:pPr>
        <w:spacing w:after="60" w:before="60"/>
        <w:jc w:val="both"/>
      </w:pPr>
      <w:r>
        <w:rPr>
          <w:rFonts w:ascii="Calibri" w:cs="Calibri" w:eastAsia="Calibri" w:hAnsi="Calibri"/>
          <w:sz w:val="20"/>
          <w:szCs w:val="20"/>
        </w:rPr>
        <w:t xml:space="preserve">Client agrees to indemnify, defend, and hold harmless the Company and its subsidiaries, affiliates, officers, directors, employees, and agents from and against any and all claims, damages, losses, liabilities, costs, and expenses (including reasonable attorneys’ fees) arising out of or related to:</w:t>
      </w:r>
    </w:p>
    <w:p>
      <w:pPr>
        <w:spacing w:after="40" w:before="40"/>
        <w:ind w:left="360"/>
      </w:pPr>
      <w:r>
        <w:rPr>
          <w:rFonts w:ascii="Calibri" w:cs="Calibri" w:eastAsia="Calibri" w:hAnsi="Calibri"/>
          <w:sz w:val="20"/>
          <w:szCs w:val="20"/>
        </w:rPr>
        <w:t xml:space="preserve">•  Client’s use or misuse of any equipment, system, or product serviced by the Company</w:t>
      </w:r>
    </w:p>
    <w:p>
      <w:pPr>
        <w:spacing w:after="40" w:before="40"/>
        <w:ind w:left="360"/>
      </w:pPr>
      <w:r>
        <w:rPr>
          <w:rFonts w:ascii="Calibri" w:cs="Calibri" w:eastAsia="Calibri" w:hAnsi="Calibri"/>
          <w:sz w:val="20"/>
          <w:szCs w:val="20"/>
        </w:rPr>
        <w:t xml:space="preserve">•  Client’s failure to act on documented deficiencies within the required timeframe</w:t>
      </w:r>
    </w:p>
    <w:p>
      <w:pPr>
        <w:spacing w:after="40" w:before="40"/>
        <w:ind w:left="360"/>
      </w:pPr>
      <w:r>
        <w:rPr>
          <w:rFonts w:ascii="Calibri" w:cs="Calibri" w:eastAsia="Calibri" w:hAnsi="Calibri"/>
          <w:sz w:val="20"/>
          <w:szCs w:val="20"/>
        </w:rPr>
        <w:t xml:space="preserve">•  Client’s failure to obtain required permits or maintain regulatory compliance</w:t>
      </w:r>
    </w:p>
    <w:p>
      <w:pPr>
        <w:spacing w:after="40" w:before="40"/>
        <w:ind w:left="360"/>
      </w:pPr>
      <w:r>
        <w:rPr>
          <w:rFonts w:ascii="Calibri" w:cs="Calibri" w:eastAsia="Calibri" w:hAnsi="Calibri"/>
          <w:sz w:val="20"/>
          <w:szCs w:val="20"/>
        </w:rPr>
        <w:t xml:space="preserve">•  Bodily injury or property damage at Client’s premises not directly caused by the Company’s gross negligence or willful misconduct</w:t>
      </w:r>
    </w:p>
    <w:p>
      <w:pPr>
        <w:spacing w:after="60" w:before="60"/>
        <w:jc w:val="both"/>
      </w:pPr>
      <w:r>
        <w:rPr>
          <w:rFonts w:ascii="Calibri" w:cs="Calibri" w:eastAsia="Calibri" w:hAnsi="Calibri"/>
          <w:sz w:val="20"/>
          <w:szCs w:val="20"/>
        </w:rPr>
        <w:t xml:space="preserve">The Company agrees to indemnify Client from claims arising directly from the Company’s gross negligence or willful misconduct in the performance of services.</w:t>
      </w:r>
    </w:p>
    <w:p>
      <w:pPr>
        <w:spacing w:after="80" w:before="280"/>
      </w:pPr>
      <w:r>
        <w:rPr>
          <w:rFonts w:ascii="Calibri" w:cs="Calibri" w:eastAsia="Calibri" w:hAnsi="Calibri"/>
          <w:b/>
          <w:bCs/>
          <w:color w:val="1A5276"/>
          <w:sz w:val="26"/>
          <w:szCs w:val="26"/>
        </w:rPr>
        <w:t xml:space="preserve">9. Limitation of Liability</w:t>
      </w:r>
    </w:p>
    <w:p>
      <w:pPr>
        <w:spacing w:after="60" w:before="60"/>
        <w:jc w:val="left"/>
      </w:pPr>
      <w:r>
        <w:rPr>
          <w:rFonts w:ascii="Calibri" w:cs="Calibri" w:eastAsia="Calibri" w:hAnsi="Calibri"/>
          <w:b/>
          <w:bCs/>
          <w:sz w:val="20"/>
          <w:szCs w:val="20"/>
        </w:rPr>
        <w:t xml:space="preserve">IN NO EVENT SHALL THE COMPANY BE LIABLE FOR ANY INDIRECT, INCIDENTAL, SPECIAL, EXEMPLARY, PUNITIVE, OR CONSEQUENTIAL DAMAGES, INCLUDING BUT NOT LIMITED TO LOST PROFITS, LOSS OF BUSINESS, LOSS OF DATA, OR BUSINESS INTERRUPTION, HOWEVER CAUSED AND REGARDLESS OF THE THEORY OF LIABILITY.</w:t>
      </w:r>
    </w:p>
    <w:p>
      <w:pPr>
        <w:spacing w:after="0" w:before="80"/>
      </w:pPr>
      <w:r>
        <w:t xml:space="preserve"/>
      </w:r>
    </w:p>
    <w:p>
      <w:pPr>
        <w:spacing w:after="60" w:before="60"/>
        <w:jc w:val="both"/>
      </w:pPr>
      <w:r>
        <w:rPr>
          <w:rFonts w:ascii="Calibri" w:cs="Calibri" w:eastAsia="Calibri" w:hAnsi="Calibri"/>
          <w:sz w:val="20"/>
          <w:szCs w:val="20"/>
        </w:rPr>
        <w:t xml:space="preserve">The Company’s total aggregate liability for any and all claims arising out of or related to this Agreement shall not exceed the total fees paid by Client to the Company under the specific Work Order giving rise to the claim during the twelve (12) month period immediately preceding the event. This limitation applies collectively across all divisions.</w:t>
      </w:r>
    </w:p>
    <w:p>
      <w:pPr>
        <w:spacing w:after="80" w:before="280"/>
      </w:pPr>
      <w:r>
        <w:rPr>
          <w:rFonts w:ascii="Calibri" w:cs="Calibri" w:eastAsia="Calibri" w:hAnsi="Calibri"/>
          <w:b/>
          <w:bCs/>
          <w:color w:val="1A5276"/>
          <w:sz w:val="26"/>
          <w:szCs w:val="26"/>
        </w:rPr>
        <w:t xml:space="preserve">10. Insurance</w:t>
      </w:r>
    </w:p>
    <w:p>
      <w:pPr>
        <w:spacing w:after="60" w:before="60"/>
        <w:jc w:val="both"/>
      </w:pPr>
      <w:r>
        <w:rPr>
          <w:rFonts w:ascii="Calibri" w:cs="Calibri" w:eastAsia="Calibri" w:hAnsi="Calibri"/>
          <w:sz w:val="20"/>
          <w:szCs w:val="20"/>
        </w:rPr>
        <w:t xml:space="preserve">The Company maintains the following minimum insurance coverage:</w:t>
      </w:r>
    </w:p>
    <w:p>
      <w:pPr>
        <w:spacing w:after="40" w:before="40"/>
        <w:ind w:left="360"/>
      </w:pPr>
      <w:r>
        <w:rPr>
          <w:rFonts w:ascii="Calibri" w:cs="Calibri" w:eastAsia="Calibri" w:hAnsi="Calibri"/>
          <w:sz w:val="20"/>
          <w:szCs w:val="20"/>
        </w:rPr>
        <w:t xml:space="preserve">•  Commercial general liability: $1,000,000 per occurrence / $2,000,000 aggregate</w:t>
      </w:r>
    </w:p>
    <w:p>
      <w:pPr>
        <w:spacing w:after="40" w:before="40"/>
        <w:ind w:left="360"/>
      </w:pPr>
      <w:r>
        <w:rPr>
          <w:rFonts w:ascii="Calibri" w:cs="Calibri" w:eastAsia="Calibri" w:hAnsi="Calibri"/>
          <w:sz w:val="20"/>
          <w:szCs w:val="20"/>
        </w:rPr>
        <w:t xml:space="preserve">•  Workers’ compensation: as required by applicable state law in PA, NJ, DE, MD, and VA</w:t>
      </w:r>
    </w:p>
    <w:p>
      <w:pPr>
        <w:spacing w:after="40" w:before="40"/>
        <w:ind w:left="360"/>
      </w:pPr>
      <w:r>
        <w:rPr>
          <w:rFonts w:ascii="Calibri" w:cs="Calibri" w:eastAsia="Calibri" w:hAnsi="Calibri"/>
          <w:sz w:val="20"/>
          <w:szCs w:val="20"/>
        </w:rPr>
        <w:t xml:space="preserve">•  Commercial automobile liability: $1,000,000 combined single limit</w:t>
      </w:r>
    </w:p>
    <w:p>
      <w:pPr>
        <w:spacing w:after="40" w:before="40"/>
        <w:ind w:left="360"/>
      </w:pPr>
      <w:r>
        <w:rPr>
          <w:rFonts w:ascii="Calibri" w:cs="Calibri" w:eastAsia="Calibri" w:hAnsi="Calibri"/>
          <w:sz w:val="20"/>
          <w:szCs w:val="20"/>
        </w:rPr>
        <w:t xml:space="preserve">•  Umbrella / excess liability: $2,000,000 aggregate</w:t>
      </w:r>
    </w:p>
    <w:p>
      <w:pPr>
        <w:spacing w:after="60" w:before="60"/>
        <w:jc w:val="both"/>
      </w:pPr>
      <w:r>
        <w:rPr>
          <w:rFonts w:ascii="Calibri" w:cs="Calibri" w:eastAsia="Calibri" w:hAnsi="Calibri"/>
          <w:sz w:val="20"/>
          <w:szCs w:val="20"/>
        </w:rPr>
        <w:t xml:space="preserve">Certificates of insurance are available upon thirty (30) days’ written request.</w:t>
      </w:r>
    </w:p>
    <w:p>
      <w:pPr>
        <w:spacing w:after="80" w:before="280"/>
      </w:pPr>
      <w:r>
        <w:rPr>
          <w:rFonts w:ascii="Calibri" w:cs="Calibri" w:eastAsia="Calibri" w:hAnsi="Calibri"/>
          <w:b/>
          <w:bCs/>
          <w:color w:val="1A5276"/>
          <w:sz w:val="26"/>
          <w:szCs w:val="26"/>
        </w:rPr>
        <w:t xml:space="preserve">11. Client Responsibilities &amp; Site Access</w:t>
      </w:r>
    </w:p>
    <w:p>
      <w:pPr>
        <w:spacing w:after="40" w:before="40"/>
        <w:ind w:left="360"/>
      </w:pPr>
      <w:r>
        <w:rPr>
          <w:rFonts w:ascii="Calibri" w:cs="Calibri" w:eastAsia="Calibri" w:hAnsi="Calibri"/>
          <w:sz w:val="20"/>
          <w:szCs w:val="20"/>
        </w:rPr>
        <w:t xml:space="preserve">•  Provide safe, unobstructed access to all equipment and areas covered under this Agreement during scheduled visits and emergency calls</w:t>
      </w:r>
    </w:p>
    <w:p>
      <w:pPr>
        <w:spacing w:after="40" w:before="40"/>
        <w:ind w:left="360"/>
      </w:pPr>
      <w:r>
        <w:rPr>
          <w:rFonts w:ascii="Calibri" w:cs="Calibri" w:eastAsia="Calibri" w:hAnsi="Calibri"/>
          <w:sz w:val="20"/>
          <w:szCs w:val="20"/>
        </w:rPr>
        <w:t xml:space="preserve">•  Designate an on-site representative with authority to approve additional work and sign off on service completion</w:t>
      </w:r>
    </w:p>
    <w:p>
      <w:pPr>
        <w:spacing w:after="40" w:before="40"/>
        <w:ind w:left="360"/>
      </w:pPr>
      <w:r>
        <w:rPr>
          <w:rFonts w:ascii="Calibri" w:cs="Calibri" w:eastAsia="Calibri" w:hAnsi="Calibri"/>
          <w:sz w:val="20"/>
          <w:szCs w:val="20"/>
        </w:rPr>
        <w:t xml:space="preserve">•  Maintain records of all inspection reports, compliance certificates, and deficiency notices as required by applicable law</w:t>
      </w:r>
    </w:p>
    <w:p>
      <w:pPr>
        <w:spacing w:after="40" w:before="40"/>
        <w:ind w:left="360"/>
      </w:pPr>
      <w:r>
        <w:rPr>
          <w:rFonts w:ascii="Calibri" w:cs="Calibri" w:eastAsia="Calibri" w:hAnsi="Calibri"/>
          <w:sz w:val="20"/>
          <w:szCs w:val="20"/>
        </w:rPr>
        <w:t xml:space="preserve">•  Not modify, relocate, disable, or tamper with any system covered under this Agreement without prior written approval</w:t>
      </w:r>
    </w:p>
    <w:p>
      <w:pPr>
        <w:spacing w:after="40" w:before="40"/>
        <w:ind w:left="360"/>
      </w:pPr>
      <w:r>
        <w:rPr>
          <w:rFonts w:ascii="Calibri" w:cs="Calibri" w:eastAsia="Calibri" w:hAnsi="Calibri"/>
          <w:sz w:val="20"/>
          <w:szCs w:val="20"/>
        </w:rPr>
        <w:t xml:space="preserve">•  Notify the Company within twenty-four (24) hours of any system activation, discharge, alarm, or suspected malfunction</w:t>
      </w:r>
    </w:p>
    <w:p>
      <w:pPr>
        <w:spacing w:after="40" w:before="40"/>
        <w:ind w:left="360"/>
      </w:pPr>
      <w:r>
        <w:rPr>
          <w:rFonts w:ascii="Calibri" w:cs="Calibri" w:eastAsia="Calibri" w:hAnsi="Calibri"/>
          <w:sz w:val="20"/>
          <w:szCs w:val="20"/>
        </w:rPr>
        <w:t xml:space="preserve">•  Pay all invoices by the due date to ensure uninterrupted service across all contracted divisions</w:t>
      </w:r>
    </w:p>
    <w:p>
      <w:pPr>
        <w:spacing w:after="80" w:before="280"/>
      </w:pPr>
      <w:r>
        <w:rPr>
          <w:rFonts w:ascii="Calibri" w:cs="Calibri" w:eastAsia="Calibri" w:hAnsi="Calibri"/>
          <w:b/>
          <w:bCs/>
          <w:color w:val="1A5276"/>
          <w:sz w:val="26"/>
          <w:szCs w:val="26"/>
        </w:rPr>
        <w:t xml:space="preserve">12. Force Majeure</w:t>
      </w:r>
    </w:p>
    <w:p>
      <w:pPr>
        <w:spacing w:after="60" w:before="60"/>
        <w:jc w:val="both"/>
      </w:pPr>
      <w:r>
        <w:rPr>
          <w:rFonts w:ascii="Calibri" w:cs="Calibri" w:eastAsia="Calibri" w:hAnsi="Calibri"/>
          <w:sz w:val="20"/>
          <w:szCs w:val="20"/>
        </w:rPr>
        <w:t xml:space="preserve">Neither party shall be liable for delays or failures in performance resulting from circumstances beyond their reasonable control, including acts of God, natural disasters, pandemics, government orders, labor strikes, or supply chain disruptions. If a Force Majeure Event continues for more than sixty (60) days, either party may terminate the affected Work Order without penalty by written notice.</w:t>
      </w:r>
    </w:p>
    <w:p>
      <w:pPr>
        <w:spacing w:after="80" w:before="280"/>
      </w:pPr>
      <w:r>
        <w:rPr>
          <w:rFonts w:ascii="Calibri" w:cs="Calibri" w:eastAsia="Calibri" w:hAnsi="Calibri"/>
          <w:b/>
          <w:bCs/>
          <w:color w:val="1A5276"/>
          <w:sz w:val="26"/>
          <w:szCs w:val="26"/>
        </w:rPr>
        <w:t xml:space="preserve">13. Confidentiality</w:t>
      </w:r>
    </w:p>
    <w:p>
      <w:pPr>
        <w:spacing w:after="60" w:before="60"/>
        <w:jc w:val="both"/>
      </w:pPr>
      <w:r>
        <w:rPr>
          <w:rFonts w:ascii="Calibri" w:cs="Calibri" w:eastAsia="Calibri" w:hAnsi="Calibri"/>
          <w:sz w:val="20"/>
          <w:szCs w:val="20"/>
        </w:rPr>
        <w:t xml:space="preserve">Each party agrees to maintain the confidentiality of the other’s proprietary business information, pricing, and trade secrets disclosed in connection with this Agreement. This obligation survives termination for a period of three (3) years.</w:t>
      </w:r>
    </w:p>
    <w:p>
      <w:pPr>
        <w:spacing w:after="80" w:before="280"/>
      </w:pPr>
      <w:r>
        <w:rPr>
          <w:rFonts w:ascii="Calibri" w:cs="Calibri" w:eastAsia="Calibri" w:hAnsi="Calibri"/>
          <w:b/>
          <w:bCs/>
          <w:color w:val="1A5276"/>
          <w:sz w:val="26"/>
          <w:szCs w:val="26"/>
        </w:rPr>
        <w:t xml:space="preserve">14. Governing Law &amp; Dispute Resolution</w:t>
      </w:r>
    </w:p>
    <w:p>
      <w:pPr>
        <w:spacing w:after="60" w:before="60"/>
        <w:jc w:val="both"/>
      </w:pPr>
      <w:r>
        <w:rPr>
          <w:rFonts w:ascii="Calibri" w:cs="Calibri" w:eastAsia="Calibri" w:hAnsi="Calibri"/>
          <w:sz w:val="20"/>
          <w:szCs w:val="20"/>
        </w:rPr>
        <w:t xml:space="preserve">This Agreement shall be governed by the laws of the Commonwealth of Pennsylvania, except where the service location is in New Jersey, Delaware, Maryland, or Virginia, in which case the laws of the applicable state shall govern matters specific to those services. Disputes shall be resolved through: (1) good-faith negotiation within thirty (30) days; (2) non-binding mediation in Philadelphia, PA under AAA rules; and (3) binding arbitration in Philadelphia, PA under AAA Commercial Arbitration Rules. Either party may seek injunctive relief in any court of competent jurisdiction to prevent irreparable harm without waiving the right to arbitration.</w:t>
      </w:r>
    </w:p>
    <w:p>
      <w:pPr>
        <w:spacing w:after="80" w:before="280"/>
      </w:pPr>
      <w:r>
        <w:rPr>
          <w:rFonts w:ascii="Calibri" w:cs="Calibri" w:eastAsia="Calibri" w:hAnsi="Calibri"/>
          <w:b/>
          <w:bCs/>
          <w:color w:val="1A5276"/>
          <w:sz w:val="26"/>
          <w:szCs w:val="26"/>
        </w:rPr>
        <w:t xml:space="preserve">15. General Provisions</w:t>
      </w:r>
    </w:p>
    <w:p>
      <w:pPr>
        <w:spacing w:after="60" w:before="160"/>
      </w:pPr>
      <w:r>
        <w:rPr>
          <w:rFonts w:ascii="Calibri" w:cs="Calibri" w:eastAsia="Calibri" w:hAnsi="Calibri"/>
          <w:b/>
          <w:bCs/>
          <w:color w:val="1A5276"/>
          <w:sz w:val="22"/>
          <w:szCs w:val="22"/>
        </w:rPr>
        <w:t xml:space="preserve">15a. Entire Agreement</w:t>
      </w:r>
    </w:p>
    <w:p>
      <w:pPr>
        <w:spacing w:after="60" w:before="60"/>
        <w:jc w:val="both"/>
      </w:pPr>
      <w:r>
        <w:rPr>
          <w:rFonts w:ascii="Calibri" w:cs="Calibri" w:eastAsia="Calibri" w:hAnsi="Calibri"/>
          <w:sz w:val="20"/>
          <w:szCs w:val="20"/>
        </w:rPr>
        <w:t xml:space="preserve">This Agreement, together with all Work Orders and Division Scope documents, constitutes the entire agreement between the parties and supersedes all prior negotiations, representations, and agreements.</w:t>
      </w:r>
    </w:p>
    <w:p>
      <w:pPr>
        <w:spacing w:after="60" w:before="160"/>
      </w:pPr>
      <w:r>
        <w:rPr>
          <w:rFonts w:ascii="Calibri" w:cs="Calibri" w:eastAsia="Calibri" w:hAnsi="Calibri"/>
          <w:b/>
          <w:bCs/>
          <w:color w:val="1A5276"/>
          <w:sz w:val="22"/>
          <w:szCs w:val="22"/>
        </w:rPr>
        <w:t xml:space="preserve">15b. Amendments</w:t>
      </w:r>
    </w:p>
    <w:p>
      <w:pPr>
        <w:spacing w:after="60" w:before="60"/>
        <w:jc w:val="both"/>
      </w:pPr>
      <w:r>
        <w:rPr>
          <w:rFonts w:ascii="Calibri" w:cs="Calibri" w:eastAsia="Calibri" w:hAnsi="Calibri"/>
          <w:sz w:val="20"/>
          <w:szCs w:val="20"/>
        </w:rPr>
        <w:t xml:space="preserve">No amendment shall be effective unless made in writing and signed by authorized representatives of both parties.</w:t>
      </w:r>
    </w:p>
    <w:p>
      <w:pPr>
        <w:spacing w:after="60" w:before="160"/>
      </w:pPr>
      <w:r>
        <w:rPr>
          <w:rFonts w:ascii="Calibri" w:cs="Calibri" w:eastAsia="Calibri" w:hAnsi="Calibri"/>
          <w:b/>
          <w:bCs/>
          <w:color w:val="1A5276"/>
          <w:sz w:val="22"/>
          <w:szCs w:val="22"/>
        </w:rPr>
        <w:t xml:space="preserve">15c. Severability</w:t>
      </w:r>
    </w:p>
    <w:p>
      <w:pPr>
        <w:spacing w:after="60" w:before="60"/>
        <w:jc w:val="both"/>
      </w:pPr>
      <w:r>
        <w:rPr>
          <w:rFonts w:ascii="Calibri" w:cs="Calibri" w:eastAsia="Calibri" w:hAnsi="Calibri"/>
          <w:sz w:val="20"/>
          <w:szCs w:val="20"/>
        </w:rPr>
        <w:t xml:space="preserve">If any provision is found invalid or unenforceable, it shall be modified to the minimum extent necessary, and the remaining provisions shall continue in full force.</w:t>
      </w:r>
    </w:p>
    <w:p>
      <w:pPr>
        <w:spacing w:after="60" w:before="160"/>
      </w:pPr>
      <w:r>
        <w:rPr>
          <w:rFonts w:ascii="Calibri" w:cs="Calibri" w:eastAsia="Calibri" w:hAnsi="Calibri"/>
          <w:b/>
          <w:bCs/>
          <w:color w:val="1A5276"/>
          <w:sz w:val="22"/>
          <w:szCs w:val="22"/>
        </w:rPr>
        <w:t xml:space="preserve">15d. Assignment</w:t>
      </w:r>
    </w:p>
    <w:p>
      <w:pPr>
        <w:spacing w:after="60" w:before="60"/>
        <w:jc w:val="both"/>
      </w:pPr>
      <w:r>
        <w:rPr>
          <w:rFonts w:ascii="Calibri" w:cs="Calibri" w:eastAsia="Calibri" w:hAnsi="Calibri"/>
          <w:sz w:val="20"/>
          <w:szCs w:val="20"/>
        </w:rPr>
        <w:t xml:space="preserve">Client may not assign this Agreement without prior written consent of the Company. The Company may assign in connection with a merger or acquisition upon written notice.</w:t>
      </w:r>
    </w:p>
    <w:p>
      <w:pPr>
        <w:spacing w:after="60" w:before="160"/>
      </w:pPr>
      <w:r>
        <w:rPr>
          <w:rFonts w:ascii="Calibri" w:cs="Calibri" w:eastAsia="Calibri" w:hAnsi="Calibri"/>
          <w:b/>
          <w:bCs/>
          <w:color w:val="1A5276"/>
          <w:sz w:val="22"/>
          <w:szCs w:val="22"/>
        </w:rPr>
        <w:t xml:space="preserve">15e. Notices</w:t>
      </w:r>
    </w:p>
    <w:p>
      <w:pPr>
        <w:spacing w:after="60" w:before="60"/>
        <w:jc w:val="both"/>
      </w:pPr>
      <w:r>
        <w:rPr>
          <w:rFonts w:ascii="Calibri" w:cs="Calibri" w:eastAsia="Calibri" w:hAnsi="Calibri"/>
          <w:sz w:val="20"/>
          <w:szCs w:val="20"/>
        </w:rPr>
        <w:t xml:space="preserve">All notices shall be in writing, delivered by email with confirmation, certified mail, or overnight courier. Notices to the Company: contracts@termac.com, with a copy to the applicable division manager.</w:t>
      </w:r>
    </w:p>
    <w:p>
      <w:pPr>
        <w:spacing w:after="60" w:before="160"/>
      </w:pPr>
      <w:r>
        <w:rPr>
          <w:rFonts w:ascii="Calibri" w:cs="Calibri" w:eastAsia="Calibri" w:hAnsi="Calibri"/>
          <w:b/>
          <w:bCs/>
          <w:color w:val="1A5276"/>
          <w:sz w:val="22"/>
          <w:szCs w:val="22"/>
        </w:rPr>
        <w:t xml:space="preserve">15f. Electronic Signature</w:t>
      </w:r>
    </w:p>
    <w:p>
      <w:pPr>
        <w:spacing w:after="60" w:before="60"/>
        <w:jc w:val="both"/>
      </w:pPr>
      <w:r>
        <w:rPr>
          <w:rFonts w:ascii="Calibri" w:cs="Calibri" w:eastAsia="Calibri" w:hAnsi="Calibri"/>
          <w:sz w:val="20"/>
          <w:szCs w:val="20"/>
        </w:rPr>
        <w:t xml:space="preserve">Electronic signatures are legally binding under Pennsylvania’s, New Jersey’s, Delaware’s, Maryland’s, and Virginia’s Uniform Electronic Transactions Acts and are deemed equivalent to original ink signatures.</w:t>
      </w:r>
    </w:p>
    <w:p>
      <w:pPr>
        <w:spacing w:after="60" w:before="160"/>
      </w:pPr>
      <w:r>
        <w:rPr>
          <w:rFonts w:ascii="Calibri" w:cs="Calibri" w:eastAsia="Calibri" w:hAnsi="Calibri"/>
          <w:b/>
          <w:bCs/>
          <w:color w:val="1A5276"/>
          <w:sz w:val="22"/>
          <w:szCs w:val="22"/>
        </w:rPr>
        <w:t xml:space="preserve">15g. No Third-Party Beneficiaries</w:t>
      </w:r>
    </w:p>
    <w:p>
      <w:pPr>
        <w:spacing w:after="60" w:before="60"/>
        <w:jc w:val="both"/>
      </w:pPr>
      <w:r>
        <w:rPr>
          <w:rFonts w:ascii="Calibri" w:cs="Calibri" w:eastAsia="Calibri" w:hAnsi="Calibri"/>
          <w:sz w:val="20"/>
          <w:szCs w:val="20"/>
        </w:rPr>
        <w:t xml:space="preserve">This Agreement is for the sole benefit of the parties hereto and their permitted successors and assigns.</w:t>
      </w:r>
    </w:p>
    <w:p>
      <w:r>
        <w:br w:type="page"/>
      </w:r>
    </w:p>
    <w:p>
      <w:pPr>
        <w:spacing w:after="80" w:before="0"/>
        <w:jc w:val="center"/>
      </w:pPr>
      <w:r>
        <w:drawing>
          <wp:inline distT="0" distB="0" distL="0" distR="0">
            <wp:extent cx="4762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857375"/>
                    </a:xfrm>
                    <a:prstGeom prst="rect">
                      <a:avLst/>
                    </a:prstGeom>
                  </pic:spPr>
                </pic:pic>
              </a:graphicData>
            </a:graphic>
          </wp:inline>
        </w:drawing>
      </w:r>
    </w:p>
    <w:p>
      <w:pPr>
        <w:pBdr>
          <w:bottom w:val="single" w:color="1A5276" w:sz="12"/>
        </w:pBdr>
        <w:spacing w:after="100" w:before="100"/>
      </w:pPr>
    </w:p>
    <w:p>
      <w:pPr>
        <w:spacing w:after="40" w:before="100"/>
        <w:jc w:val="center"/>
      </w:pPr>
      <w:r>
        <w:rPr>
          <w:rFonts w:ascii="Calibri" w:cs="Calibri" w:eastAsia="Calibri" w:hAnsi="Calibri"/>
          <w:b/>
          <w:bCs/>
          <w:color w:val="1A5276"/>
          <w:sz w:val="28"/>
          <w:szCs w:val="28"/>
        </w:rPr>
        <w:t xml:space="preserve">MASTER SERVICE AGREEMENT — EXECUTION PAGE</w:t>
      </w:r>
    </w:p>
    <w:p>
      <w:pPr>
        <w:spacing w:after="120" w:before="0"/>
        <w:jc w:val="center"/>
      </w:pPr>
      <w:r>
        <w:rPr>
          <w:rFonts w:ascii="Calibri" w:cs="Calibri" w:eastAsia="Calibri" w:hAnsi="Calibri"/>
          <w:i/>
          <w:iCs/>
          <w:color w:val="5A616B"/>
          <w:sz w:val="20"/>
          <w:szCs w:val="20"/>
        </w:rPr>
        <w:t xml:space="preserve">By signing below, both parties acknowledge they have read, understand, and agree to all terms and conditions of this Agreement.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shd w:fill="EBF5FB" w:val="clear"/>
          </w:tcPr>
          <w:p>
            <w:pPr>
              <w:spacing w:after="40" w:before="40"/>
            </w:pPr>
            <w:r>
              <w:rPr>
                <w:rFonts w:ascii="Calibri" w:cs="Calibri" w:eastAsia="Calibri" w:hAnsi="Calibri"/>
                <w:b/>
                <w:bCs/>
                <w:sz w:val="19"/>
                <w:szCs w:val="19"/>
              </w:rPr>
              <w:t xml:space="preserve">Account Name:</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Service Location:</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Billing Address:</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Primary Contact:</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Phone / Email:</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Agreement Type:</w:t>
            </w:r>
          </w:p>
        </w:tc>
        <w:tc>
          <w:tcPr>
            <w:tcW w:type="dxa" w:w="6740"/>
          </w:tcPr>
          <w:p>
            <w:pPr>
              <w:spacing w:after="40" w:before="40"/>
            </w:pPr>
            <w:r>
              <w:rPr>
                <w:rFonts w:ascii="Calibri" w:cs="Calibri" w:eastAsia="Calibri" w:hAnsi="Calibri"/>
                <w:sz w:val="19"/>
                <w:szCs w:val="19"/>
              </w:rPr>
              <w:t xml:space="preserve">  □ 1-Year     □ 3-Year</w:t>
            </w:r>
          </w:p>
        </w:tc>
      </w:tr>
      <w:tr>
        <w:tc>
          <w:tcPr>
            <w:tcW w:type="dxa" w:w="2800"/>
            <w:shd w:fill="EBF5FB" w:val="clear"/>
          </w:tcPr>
          <w:p>
            <w:pPr>
              <w:spacing w:after="40" w:before="40"/>
            </w:pPr>
            <w:r>
              <w:rPr>
                <w:rFonts w:ascii="Calibri" w:cs="Calibri" w:eastAsia="Calibri" w:hAnsi="Calibri"/>
                <w:b/>
                <w:bCs/>
                <w:sz w:val="19"/>
                <w:szCs w:val="19"/>
              </w:rPr>
              <w:t xml:space="preserve">Billing Cadence:</w:t>
            </w:r>
          </w:p>
        </w:tc>
        <w:tc>
          <w:tcPr>
            <w:tcW w:type="dxa" w:w="6740"/>
          </w:tcPr>
          <w:p>
            <w:pPr>
              <w:spacing w:after="40" w:before="40"/>
            </w:pPr>
            <w:r>
              <w:rPr>
                <w:rFonts w:ascii="Calibri" w:cs="Calibri" w:eastAsia="Calibri" w:hAnsi="Calibri"/>
                <w:sz w:val="19"/>
                <w:szCs w:val="19"/>
              </w:rPr>
              <w:t xml:space="preserve">  □ Monthly     □ Quarterly     □ Annually (Prepay)</w:t>
            </w:r>
          </w:p>
        </w:tc>
      </w:tr>
      <w:tr>
        <w:tc>
          <w:tcPr>
            <w:tcW w:type="dxa" w:w="2800"/>
            <w:shd w:fill="EBF5FB" w:val="clear"/>
          </w:tcPr>
          <w:p>
            <w:pPr>
              <w:spacing w:after="40" w:before="40"/>
            </w:pPr>
            <w:r>
              <w:rPr>
                <w:rFonts w:ascii="Calibri" w:cs="Calibri" w:eastAsia="Calibri" w:hAnsi="Calibri"/>
                <w:b/>
                <w:bCs/>
                <w:sz w:val="19"/>
                <w:szCs w:val="19"/>
              </w:rPr>
              <w:t xml:space="preserve">Agreement Start:</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Agreement End:</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State of Service:</w:t>
            </w:r>
          </w:p>
        </w:tc>
        <w:tc>
          <w:tcPr>
            <w:tcW w:type="dxa" w:w="6740"/>
          </w:tcPr>
          <w:p>
            <w:pPr>
              <w:spacing w:after="40" w:before="40"/>
            </w:pPr>
            <w:r>
              <w:rPr>
                <w:rFonts w:ascii="Calibri" w:cs="Calibri" w:eastAsia="Calibri" w:hAnsi="Calibri"/>
                <w:sz w:val="19"/>
                <w:szCs w:val="19"/>
              </w:rPr>
              <w:t xml:space="preserve">  □ PA     □ NJ     □ DE     □ MD     □ VA / DC</w:t>
            </w:r>
          </w:p>
        </w:tc>
      </w:tr>
      <w:tr>
        <w:tc>
          <w:tcPr>
            <w:tcW w:type="dxa" w:w="2800"/>
            <w:shd w:fill="EBF5FB" w:val="clear"/>
          </w:tcPr>
          <w:p>
            <w:pPr>
              <w:spacing w:after="40" w:before="40"/>
            </w:pPr>
            <w:r>
              <w:rPr>
                <w:rFonts w:ascii="Calibri" w:cs="Calibri" w:eastAsia="Calibri" w:hAnsi="Calibri"/>
                <w:b/>
                <w:bCs/>
                <w:sz w:val="19"/>
                <w:szCs w:val="19"/>
              </w:rPr>
              <w:t xml:space="preserve">UniPro Account ID (UNI-):</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Quality III Account ID (Q3-):</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ALLPro Account ID (ALP-):</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Filter Man Account ID (FLM-):</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GTO Account ID (GTO-):</w:t>
            </w:r>
          </w:p>
        </w:tc>
        <w:tc>
          <w:tcPr>
            <w:tcW w:type="dxa" w:w="6740"/>
          </w:tcPr>
          <w:p>
            <w:pPr>
              <w:spacing w:after="40" w:before="40"/>
            </w:pPr>
            <w:r>
              <w:rPr>
                <w:rFonts w:ascii="Calibri" w:cs="Calibri" w:eastAsia="Calibri" w:hAnsi="Calibri"/>
                <w:sz w:val="19"/>
                <w:szCs w:val="19"/>
              </w:rPr>
              <w:t xml:space="preserve">___________________________</w:t>
            </w:r>
          </w:p>
        </w:tc>
      </w:tr>
      <w:tr>
        <w:tc>
          <w:tcPr>
            <w:tcW w:type="dxa" w:w="2800"/>
            <w:shd w:fill="EBF5FB" w:val="clear"/>
          </w:tcPr>
          <w:p>
            <w:pPr>
              <w:spacing w:after="40" w:before="40"/>
            </w:pPr>
            <w:r>
              <w:rPr>
                <w:rFonts w:ascii="Calibri" w:cs="Calibri" w:eastAsia="Calibri" w:hAnsi="Calibri"/>
                <w:b/>
                <w:bCs/>
                <w:sz w:val="19"/>
                <w:szCs w:val="19"/>
              </w:rPr>
              <w:t xml:space="preserve">Termac Account ID (TRM-):</w:t>
            </w:r>
          </w:p>
        </w:tc>
        <w:tc>
          <w:tcPr>
            <w:tcW w:type="dxa" w:w="6740"/>
          </w:tcPr>
          <w:p>
            <w:pPr>
              <w:spacing w:after="40" w:before="40"/>
            </w:pPr>
            <w:r>
              <w:rPr>
                <w:rFonts w:ascii="Calibri" w:cs="Calibri" w:eastAsia="Calibri" w:hAnsi="Calibri"/>
                <w:sz w:val="19"/>
                <w:szCs w:val="19"/>
              </w:rPr>
              <w:t xml:space="preserve">___________________________</w:t>
            </w:r>
          </w:p>
        </w:tc>
      </w:tr>
    </w:tbl>
    <w:p>
      <w:pPr>
        <w:spacing w:after="0" w:before="160"/>
      </w:pPr>
      <w:r>
        <w:t xml:space="preserve"/>
      </w:r>
    </w:p>
    <w:p>
      <w:pPr>
        <w:spacing w:after="60" w:before="60"/>
        <w:jc w:val="left"/>
      </w:pPr>
      <w:r>
        <w:rPr>
          <w:rFonts w:ascii="Calibri" w:cs="Calibri" w:eastAsia="Calibri" w:hAnsi="Calibri"/>
          <w:b/>
          <w:bCs/>
          <w:sz w:val="20"/>
          <w:szCs w:val="20"/>
        </w:rPr>
        <w:t xml:space="preserve">CLIENT ACKNOWLEDGMENTS</w:t>
      </w:r>
    </w:p>
    <w:p>
      <w:pPr>
        <w:spacing w:after="40" w:before="40"/>
        <w:ind w:left="360"/>
      </w:pPr>
      <w:r>
        <w:rPr>
          <w:rFonts w:ascii="Calibri" w:cs="Calibri" w:eastAsia="Calibri" w:hAnsi="Calibri"/>
          <w:sz w:val="20"/>
          <w:szCs w:val="20"/>
        </w:rPr>
        <w:t xml:space="preserve">•  I/We have read and agree to the full terms and conditions of this Master Service Agreement</w:t>
      </w:r>
    </w:p>
    <w:p>
      <w:pPr>
        <w:spacing w:after="40" w:before="40"/>
        <w:ind w:left="360"/>
      </w:pPr>
      <w:r>
        <w:rPr>
          <w:rFonts w:ascii="Calibri" w:cs="Calibri" w:eastAsia="Calibri" w:hAnsi="Calibri"/>
          <w:sz w:val="20"/>
          <w:szCs w:val="20"/>
        </w:rPr>
        <w:t xml:space="preserve">•  I/We authorize Termac LLC and its applicable divisions to perform the services described herein</w:t>
      </w:r>
    </w:p>
    <w:p>
      <w:pPr>
        <w:spacing w:after="40" w:before="40"/>
        <w:ind w:left="360"/>
      </w:pPr>
      <w:r>
        <w:rPr>
          <w:rFonts w:ascii="Calibri" w:cs="Calibri" w:eastAsia="Calibri" w:hAnsi="Calibri"/>
          <w:sz w:val="20"/>
          <w:szCs w:val="20"/>
        </w:rPr>
        <w:t xml:space="preserve">•  I/We authorize the card on file to be charged per the billing cadence selected above</w:t>
      </w:r>
    </w:p>
    <w:p>
      <w:pPr>
        <w:spacing w:after="40" w:before="40"/>
        <w:ind w:left="360"/>
      </w:pPr>
      <w:r>
        <w:rPr>
          <w:rFonts w:ascii="Calibri" w:cs="Calibri" w:eastAsia="Calibri" w:hAnsi="Calibri"/>
          <w:sz w:val="20"/>
          <w:szCs w:val="20"/>
        </w:rPr>
        <w:t xml:space="preserve">•  I/We understand and accept the cancellation, early termination, and automatic renewal provisions</w:t>
      </w:r>
    </w:p>
    <w:p>
      <w:pPr>
        <w:spacing w:after="40" w:before="40"/>
        <w:ind w:left="360"/>
      </w:pPr>
      <w:r>
        <w:rPr>
          <w:rFonts w:ascii="Calibri" w:cs="Calibri" w:eastAsia="Calibri" w:hAnsi="Calibri"/>
          <w:sz w:val="20"/>
          <w:szCs w:val="20"/>
        </w:rPr>
        <w:t xml:space="preserve">•  I/We acknowledge receipt of the Division Scope document(s) for each contracted division listed in Section 2</w:t>
      </w:r>
    </w:p>
    <w:p>
      <w:pPr>
        <w:spacing w:after="40" w:before="40"/>
        <w:ind w:left="360"/>
      </w:pPr>
      <w:r>
        <w:rPr>
          <w:rFonts w:ascii="Calibri" w:cs="Calibri" w:eastAsia="Calibri" w:hAnsi="Calibri"/>
          <w:sz w:val="20"/>
          <w:szCs w:val="20"/>
        </w:rPr>
        <w:t xml:space="preserve">•  I/We represent that the signatory below is duly authorized to bind the Client entity to this Agreement</w:t>
      </w:r>
    </w:p>
    <w:p>
      <w:pPr>
        <w:spacing w:after="0" w:before="1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500"/>
        <w:gridCol w:w="540"/>
        <w:gridCol w:w="4500"/>
      </w:tblGrid>
      <w:tr>
        <w:tc>
          <w:tcPr>
            <w:tcW w:type="dxa" w:w="4500"/>
            <w:tcBorders>
              <w:top w:val="none"/>
              <w:left w:val="none"/>
              <w:bottom w:val="single" w:color="1A1D21" w:sz="8"/>
              <w:right w:val="none"/>
            </w:tcBorders>
          </w:tcPr>
          <w:p>
            <w:r>
              <w:rPr>
                <w:sz w:val="44"/>
                <w:szCs w:val="44"/>
              </w:rPr>
              <w:t xml:space="preserve"> </w:t>
            </w:r>
          </w:p>
        </w:tc>
        <w:tc>
          <w:tcPr>
            <w:tcW w:type="dxa" w:w="540"/>
            <w:tcBorders>
              <w:top w:val="none"/>
              <w:left w:val="none"/>
              <w:bottom w:val="none"/>
              <w:right w:val="none"/>
            </w:tcBorders>
          </w:tcPr>
          <w:p/>
        </w:tc>
        <w:tc>
          <w:tcPr>
            <w:tcW w:type="dxa" w:w="4500"/>
            <w:tcBorders>
              <w:top w:val="none"/>
              <w:left w:val="none"/>
              <w:bottom w:val="single" w:color="1A1D21" w:sz="8"/>
              <w:right w:val="none"/>
            </w:tcBorders>
          </w:tcPr>
          <w:p>
            <w:r>
              <w:rPr>
                <w:sz w:val="44"/>
                <w:szCs w:val="44"/>
              </w:rPr>
              <w:t xml:space="preserve"> </w:t>
            </w:r>
          </w:p>
        </w:tc>
      </w:tr>
      <w:tr>
        <w:tc>
          <w:tcPr>
            <w:tcW w:type="dxa" w:w="4500"/>
            <w:tcBorders>
              <w:top w:val="none"/>
              <w:left w:val="none"/>
              <w:bottom w:val="none"/>
              <w:right w:val="none"/>
            </w:tcBorders>
          </w:tcPr>
          <w:p>
            <w:pPr>
              <w:spacing w:after="60" w:before="40"/>
            </w:pPr>
            <w:r>
              <w:rPr>
                <w:rFonts w:ascii="Calibri" w:cs="Calibri" w:eastAsia="Calibri" w:hAnsi="Calibri"/>
                <w:color w:val="5A616B"/>
                <w:sz w:val="18"/>
                <w:szCs w:val="18"/>
              </w:rPr>
              <w:t xml:space="preserve">Customer Signature / Date</w:t>
            </w:r>
          </w:p>
        </w:tc>
        <w:tc>
          <w:tcPr>
            <w:tcW w:type="dxa" w:w="540"/>
            <w:tcBorders>
              <w:top w:val="none"/>
              <w:left w:val="none"/>
              <w:bottom w:val="none"/>
              <w:right w:val="none"/>
            </w:tcBorders>
          </w:tcPr>
          <w:p/>
        </w:tc>
        <w:tc>
          <w:tcPr>
            <w:tcW w:type="dxa" w:w="4500"/>
            <w:tcBorders>
              <w:top w:val="none"/>
              <w:left w:val="none"/>
              <w:bottom w:val="none"/>
              <w:right w:val="none"/>
            </w:tcBorders>
          </w:tcPr>
          <w:p>
            <w:pPr>
              <w:spacing w:after="60" w:before="40"/>
            </w:pPr>
            <w:r>
              <w:rPr>
                <w:rFonts w:ascii="Calibri" w:cs="Calibri" w:eastAsia="Calibri" w:hAnsi="Calibri"/>
                <w:color w:val="5A616B"/>
                <w:sz w:val="18"/>
                <w:szCs w:val="18"/>
              </w:rPr>
              <w:t xml:space="preserve">Termac Representative / Date</w:t>
            </w:r>
          </w:p>
        </w:tc>
      </w:tr>
      <w:tr>
        <w:tc>
          <w:tcPr>
            <w:tcW w:type="dxa" w:w="4500"/>
            <w:tcBorders>
              <w:top w:val="none"/>
              <w:left w:val="none"/>
              <w:bottom w:val="single" w:color="1A1D21" w:sz="8"/>
              <w:right w:val="none"/>
            </w:tcBorders>
          </w:tcPr>
          <w:p>
            <w:r>
              <w:rPr>
                <w:sz w:val="44"/>
                <w:szCs w:val="44"/>
              </w:rPr>
              <w:t xml:space="preserve"> </w:t>
            </w:r>
          </w:p>
        </w:tc>
        <w:tc>
          <w:tcPr>
            <w:tcW w:type="dxa" w:w="540"/>
            <w:tcBorders>
              <w:top w:val="none"/>
              <w:left w:val="none"/>
              <w:bottom w:val="none"/>
              <w:right w:val="none"/>
            </w:tcBorders>
          </w:tcPr>
          <w:p/>
        </w:tc>
        <w:tc>
          <w:tcPr>
            <w:tcW w:type="dxa" w:w="4500"/>
            <w:tcBorders>
              <w:top w:val="none"/>
              <w:left w:val="none"/>
              <w:bottom w:val="single" w:color="1A1D21" w:sz="8"/>
              <w:right w:val="none"/>
            </w:tcBorders>
          </w:tcPr>
          <w:p>
            <w:r>
              <w:rPr>
                <w:sz w:val="44"/>
                <w:szCs w:val="44"/>
              </w:rPr>
              <w:t xml:space="preserve"> </w:t>
            </w:r>
          </w:p>
        </w:tc>
      </w:tr>
      <w:tr>
        <w:tc>
          <w:tcPr>
            <w:tcW w:type="dxa" w:w="4500"/>
            <w:tcBorders>
              <w:top w:val="none"/>
              <w:left w:val="none"/>
              <w:bottom w:val="none"/>
              <w:right w:val="none"/>
            </w:tcBorders>
          </w:tcPr>
          <w:p>
            <w:pPr>
              <w:spacing w:after="40" w:before="40"/>
            </w:pPr>
            <w:r>
              <w:rPr>
                <w:rFonts w:ascii="Calibri" w:cs="Calibri" w:eastAsia="Calibri" w:hAnsi="Calibri"/>
                <w:color w:val="5A616B"/>
                <w:sz w:val="18"/>
                <w:szCs w:val="18"/>
              </w:rPr>
              <w:t xml:space="preserve">Print Name / Title</w:t>
            </w:r>
          </w:p>
        </w:tc>
        <w:tc>
          <w:tcPr>
            <w:tcW w:type="dxa" w:w="540"/>
            <w:tcBorders>
              <w:top w:val="none"/>
              <w:left w:val="none"/>
              <w:bottom w:val="none"/>
              <w:right w:val="none"/>
            </w:tcBorders>
          </w:tcPr>
          <w:p/>
        </w:tc>
        <w:tc>
          <w:tcPr>
            <w:tcW w:type="dxa" w:w="4500"/>
            <w:tcBorders>
              <w:top w:val="none"/>
              <w:left w:val="none"/>
              <w:bottom w:val="none"/>
              <w:right w:val="none"/>
            </w:tcBorders>
          </w:tcPr>
          <w:p>
            <w:pPr>
              <w:spacing w:after="40" w:before="40"/>
            </w:pPr>
            <w:r>
              <w:rPr>
                <w:rFonts w:ascii="Calibri" w:cs="Calibri" w:eastAsia="Calibri" w:hAnsi="Calibri"/>
                <w:color w:val="5A616B"/>
                <w:sz w:val="18"/>
                <w:szCs w:val="18"/>
              </w:rPr>
              <w:t xml:space="preserve">Authorized Representative / Title</w:t>
            </w:r>
          </w:p>
        </w:tc>
      </w:tr>
    </w:tbl>
    <w:p>
      <w:pPr>
        <w:spacing w:after="0" w:before="240"/>
      </w:pPr>
      <w:r>
        <w:t xml:space="preserve"/>
      </w:r>
    </w:p>
    <w:p>
      <w:pPr>
        <w:pBdr>
          <w:bottom w:val="single" w:color="1A5276" w:sz="12"/>
        </w:pBdr>
        <w:spacing w:after="100" w:before="100"/>
      </w:pPr>
    </w:p>
    <w:p>
      <w:pPr>
        <w:spacing w:after="40" w:before="80"/>
        <w:jc w:val="center"/>
      </w:pPr>
      <w:r>
        <w:rPr>
          <w:rFonts w:ascii="Calibri" w:cs="Calibri" w:eastAsia="Calibri" w:hAnsi="Calibri"/>
          <w:i/>
          <w:iCs/>
          <w:color w:val="5A616B"/>
          <w:sz w:val="16"/>
          <w:szCs w:val="16"/>
        </w:rPr>
        <w:t xml:space="preserve">Termac Corporation — Est. 1963 — A System of Services</w:t>
      </w:r>
    </w:p>
    <w:p>
      <w:pPr>
        <w:spacing w:after="40" w:before="0"/>
        <w:jc w:val="center"/>
      </w:pPr>
      <w:r>
        <w:rPr>
          <w:rFonts w:ascii="Calibri" w:cs="Calibri" w:eastAsia="Calibri" w:hAnsi="Calibri"/>
          <w:color w:val="5A616B"/>
          <w:sz w:val="16"/>
          <w:szCs w:val="16"/>
        </w:rPr>
        <w:t xml:space="preserve">Universal Fire Protection (UNI) • Quality III (Q3) • ALLPro (ALP) • Filter Man (FLM) • GTO (GTO) • Termac Corporation (TRM)</w:t>
      </w:r>
    </w:p>
    <w:p>
      <w:pPr>
        <w:spacing w:after="0" w:before="0"/>
        <w:jc w:val="center"/>
      </w:pPr>
      <w:r>
        <w:rPr>
          <w:rFonts w:ascii="Calibri" w:cs="Calibri" w:eastAsia="Calibri" w:hAnsi="Calibri"/>
          <w:i/>
          <w:iCs/>
          <w:color w:val="5A616B"/>
          <w:sz w:val="16"/>
          <w:szCs w:val="16"/>
        </w:rPr>
        <w:t xml:space="preserve">contracts@termac.com — Serving PA, NJ, DE, MD, VA &amp; DC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c323e28bc4dc84a81e42eb52c5031f520f62a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Termac Master Service Agreement</dc:title>
  <dc:creator>Termac Corporation</dc:creator>
  <cp:lastModifiedBy>Un-named</cp:lastModifiedBy>
  <cp:revision>1</cp:revision>
  <dcterms:created xsi:type="dcterms:W3CDTF">2026-07-01T17:29:10.820Z</dcterms:created>
  <dcterms:modified xsi:type="dcterms:W3CDTF">2026-07-01T17:29:10.832Z</dcterms:modified>
</cp:coreProperties>
</file>

<file path=docProps/custom.xml><?xml version="1.0" encoding="utf-8"?>
<Properties xmlns="http://schemas.openxmlformats.org/officeDocument/2006/custom-properties" xmlns:vt="http://schemas.openxmlformats.org/officeDocument/2006/docPropsVTypes"/>
</file>