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Benefits Overview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Overview</w:t>
      </w:r>
    </w:p>
    <w:p>
      <w:pPr>
        <w:pStyle w:val="ListBullet"/>
      </w:pPr>
      <w:r>
        <w:rPr>
          <w:sz w:val="22"/>
        </w:rPr>
        <w:t>Termac Family of Companies offers a benefits package designed to support the health, financial wellbeing, and work-life balance of our employees. Benefits eligibility and details are subject to current plan documents, which supersede this summary.</w:t>
      </w:r>
    </w:p>
    <w:p>
      <w:pPr>
        <w:pStyle w:val="Heading2"/>
      </w:pPr>
      <w:r>
        <w:rPr>
          <w:color w:val="1A4731"/>
          <w:sz w:val="24"/>
        </w:rPr>
        <w:t>Health &amp; Wellness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Medical insurance</w:t>
      </w:r>
      <w:r>
        <w:rPr>
          <w:sz w:val="22"/>
        </w:rPr>
        <w:t xml:space="preserve"> — company-sponsored health insurance available to full-time employees after the eligibility waiting period.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Dental insurance</w:t>
      </w:r>
      <w:r>
        <w:rPr>
          <w:sz w:val="22"/>
        </w:rPr>
        <w:t xml:space="preserve"> — dental coverage available as part of the benefits package.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Vision insurance</w:t>
      </w:r>
      <w:r>
        <w:rPr>
          <w:sz w:val="22"/>
        </w:rPr>
        <w:t xml:space="preserve"> — vision coverage available as part of the benefits package.</w:t>
      </w:r>
    </w:p>
    <w:p>
      <w:pPr>
        <w:pStyle w:val="ListBullet"/>
      </w:pPr>
      <w:r>
        <w:rPr>
          <w:sz w:val="22"/>
        </w:rPr>
        <w:t>Employees may add eligible dependents to their coverage during open enrollment or qualifying life events.</w:t>
      </w:r>
    </w:p>
    <w:p>
      <w:pPr>
        <w:pStyle w:val="Heading2"/>
      </w:pPr>
      <w:r>
        <w:rPr>
          <w:color w:val="1A4731"/>
          <w:sz w:val="24"/>
        </w:rPr>
        <w:t>Financial Benefits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401(k) retirement plan</w:t>
      </w:r>
      <w:r>
        <w:rPr>
          <w:sz w:val="22"/>
        </w:rPr>
        <w:t xml:space="preserve"> — eligible employees may participate in the company retirement savings plan. Details on company match provided separately.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Life insurance</w:t>
      </w:r>
      <w:r>
        <w:rPr>
          <w:sz w:val="22"/>
        </w:rPr>
        <w:t xml:space="preserve"> — company-provided basic life insurance for eligible full-time employees.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Paid Time Off</w:t>
      </w:r>
      <w:r>
        <w:rPr>
          <w:sz w:val="22"/>
        </w:rPr>
        <w:t xml:space="preserve"> — refer to the PTO, Sick Leave &amp; Vacation Policy for details.</w:t>
      </w:r>
    </w:p>
    <w:p>
      <w:pPr>
        <w:pStyle w:val="Heading2"/>
      </w:pPr>
      <w:r>
        <w:rPr>
          <w:color w:val="1A4731"/>
          <w:sz w:val="24"/>
        </w:rPr>
        <w:t>Additional Benefits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Paid holidays</w:t>
      </w:r>
      <w:r>
        <w:rPr>
          <w:sz w:val="22"/>
        </w:rPr>
        <w:t xml:space="preserve"> — company observes standard paid holidays as published annually.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Direct deposit</w:t>
      </w:r>
      <w:r>
        <w:rPr>
          <w:sz w:val="22"/>
        </w:rPr>
        <w:t xml:space="preserve"> — all employees are encouraged to enroll in direct deposit for payroll.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Employee referral program</w:t>
      </w:r>
      <w:r>
        <w:rPr>
          <w:sz w:val="22"/>
        </w:rPr>
        <w:t xml:space="preserve"> — employees who refer candidates who are hired and complete 90 days receive a referral bonus per current program terms.</w:t>
      </w:r>
    </w:p>
    <w:p>
      <w:pPr>
        <w:pStyle w:val="Heading2"/>
      </w:pPr>
      <w:r>
        <w:rPr>
          <w:color w:val="1A4731"/>
          <w:sz w:val="24"/>
        </w:rPr>
        <w:t>Changes to Benefits</w:t>
      </w:r>
    </w:p>
    <w:p>
      <w:pPr>
        <w:pStyle w:val="ListBullet"/>
      </w:pPr>
      <w:r>
        <w:rPr>
          <w:sz w:val="22"/>
        </w:rPr>
        <w:t>Benefits may change annually during open enrollment. Employees will be notified of any material changes.</w:t>
      </w:r>
    </w:p>
    <w:p>
      <w:pPr>
        <w:pStyle w:val="ListBullet"/>
      </w:pPr>
      <w:r>
        <w:rPr>
          <w:sz w:val="22"/>
        </w:rPr>
        <w:t>In the event of any conflict between this summary and the official plan documents, the official plan documents govern.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