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Expense Reimbursement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Termac Family of Companies will reimburse employees for reasonable, necessary, and properly documented business expenses incurred in the performance of their job duties.</w:t>
      </w:r>
    </w:p>
    <w:p>
      <w:pPr>
        <w:pStyle w:val="Heading2"/>
      </w:pPr>
      <w:r>
        <w:rPr>
          <w:color w:val="1A4731"/>
          <w:sz w:val="24"/>
        </w:rPr>
        <w:t>Covered Expenses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Mileage</w:t>
      </w:r>
      <w:r>
        <w:rPr>
          <w:sz w:val="22"/>
        </w:rPr>
        <w:t xml:space="preserve"> — reimbursed at the current IRS standard mileage rate for business travel in personal vehicles (not applicable to employees with company vehicles).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Tolls and parking</w:t>
      </w:r>
      <w:r>
        <w:rPr>
          <w:sz w:val="22"/>
        </w:rPr>
        <w:t xml:space="preserve"> — reimbursed with receipt.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Business meals</w:t>
      </w:r>
      <w:r>
        <w:rPr>
          <w:sz w:val="22"/>
        </w:rPr>
        <w:t xml:space="preserve"> — reimbursed with receipt and a description of the business purpose and attendees. Alcohol is not reimbursable.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Supplies and materials</w:t>
      </w:r>
      <w:r>
        <w:rPr>
          <w:sz w:val="22"/>
        </w:rPr>
        <w:t xml:space="preserve"> — pre-approved job-related purchases reimbursed with receipt.</w:t>
      </w:r>
    </w:p>
    <w:p>
      <w:pPr>
        <w:pStyle w:val="Heading2"/>
      </w:pPr>
      <w:r>
        <w:rPr>
          <w:color w:val="1A4731"/>
          <w:sz w:val="24"/>
        </w:rPr>
        <w:t>Submission Requirements</w:t>
      </w:r>
    </w:p>
    <w:p>
      <w:pPr>
        <w:pStyle w:val="ListBullet"/>
      </w:pPr>
      <w:r>
        <w:rPr>
          <w:sz w:val="22"/>
        </w:rPr>
        <w:t>All expenses must be submitted within 30 days of being incurred.</w:t>
      </w:r>
    </w:p>
    <w:p>
      <w:pPr>
        <w:pStyle w:val="ListBullet"/>
      </w:pPr>
      <w:r>
        <w:rPr>
          <w:sz w:val="22"/>
        </w:rPr>
        <w:t>Receipts are required for all expenses over $10.</w:t>
      </w:r>
    </w:p>
    <w:p>
      <w:pPr>
        <w:pStyle w:val="ListBullet"/>
      </w:pPr>
      <w:r>
        <w:rPr>
          <w:sz w:val="22"/>
        </w:rPr>
        <w:t>Mileage must be logged with origin, destination, and purpose.</w:t>
      </w:r>
    </w:p>
    <w:p>
      <w:pPr>
        <w:pStyle w:val="ListBullet"/>
      </w:pPr>
      <w:r>
        <w:rPr>
          <w:sz w:val="22"/>
        </w:rPr>
        <w:t>Submit expense reports to your manager for approval prior to submission to accounting.</w:t>
      </w:r>
    </w:p>
    <w:p>
      <w:pPr>
        <w:pStyle w:val="Heading2"/>
      </w:pPr>
      <w:r>
        <w:rPr>
          <w:color w:val="1A4731"/>
          <w:sz w:val="24"/>
        </w:rPr>
        <w:t>Non-Reimbursable Expenses</w:t>
      </w:r>
    </w:p>
    <w:p>
      <w:pPr>
        <w:pStyle w:val="ListBullet"/>
      </w:pPr>
      <w:r>
        <w:rPr>
          <w:sz w:val="22"/>
        </w:rPr>
        <w:t>Personal expenses, fines, or traffic violations.</w:t>
      </w:r>
    </w:p>
    <w:p>
      <w:pPr>
        <w:pStyle w:val="ListBullet"/>
      </w:pPr>
      <w:r>
        <w:rPr>
          <w:sz w:val="22"/>
        </w:rPr>
        <w:t>Alcohol or entertainment not pre-approved by management.</w:t>
      </w:r>
    </w:p>
    <w:p>
      <w:pPr>
        <w:pStyle w:val="ListBullet"/>
      </w:pPr>
      <w:r>
        <w:rPr>
          <w:sz w:val="22"/>
        </w:rPr>
        <w:t>Expenses incurred outside the scope of employment.</w:t>
      </w:r>
    </w:p>
    <w:p>
      <w:pPr>
        <w:pStyle w:val="ListBullet"/>
      </w:pPr>
      <w:r>
        <w:rPr>
          <w:sz w:val="22"/>
        </w:rPr>
        <w:t>Any expense not supported by a receipt (unless mileage).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