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Harassment &amp; Hostile Work Environment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Termac Family of Companies is committed to providing a workplace free from harassment, intimidation, and hostility. This policy prohibits harassment based on race, color, religion, sex, national origin, age, disability, or any other characteristic protected by law.</w:t>
      </w:r>
    </w:p>
    <w:p>
      <w:pPr>
        <w:pStyle w:val="Heading2"/>
      </w:pPr>
      <w:r>
        <w:rPr>
          <w:color w:val="1A4731"/>
          <w:sz w:val="24"/>
        </w:rPr>
        <w:t>Prohibited Conduct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Sexual harassment</w:t>
      </w:r>
      <w:r>
        <w:rPr>
          <w:sz w:val="22"/>
        </w:rPr>
        <w:t xml:space="preserve"> — unwelcome sexual advances, requests for sexual favors, or verbal/physical conduct of a sexual nature that affects employment conditions or creates a hostile environment.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Workplace harassment</w:t>
      </w:r>
      <w:r>
        <w:rPr>
          <w:sz w:val="22"/>
        </w:rPr>
        <w:t xml:space="preserve"> — verbal or physical conduct that demeans, intimidates, or shows hostility toward an individual based on a protected characteristic.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Bullying or intimidation</w:t>
      </w:r>
      <w:r>
        <w:rPr>
          <w:sz w:val="22"/>
        </w:rPr>
        <w:t xml:space="preserve"> — repeated behavior intended to belittle, embarrass, or harm another employee.</w:t>
      </w:r>
    </w:p>
    <w:p>
      <w:pPr>
        <w:pStyle w:val="ListBullet"/>
      </w:pPr>
      <w:r>
        <w:rPr>
          <w:sz w:val="22"/>
        </w:rPr>
        <w:t>Retaliation against any employee who reports harassment in good faith is strictly prohibited.</w:t>
      </w:r>
    </w:p>
    <w:p>
      <w:pPr>
        <w:pStyle w:val="Heading2"/>
      </w:pPr>
      <w:r>
        <w:rPr>
          <w:color w:val="1A4731"/>
          <w:sz w:val="24"/>
        </w:rPr>
        <w:t>Reporting Procedures</w:t>
      </w:r>
    </w:p>
    <w:p>
      <w:pPr>
        <w:pStyle w:val="ListBullet"/>
      </w:pPr>
      <w:r>
        <w:rPr>
          <w:sz w:val="22"/>
        </w:rPr>
        <w:t>Employees who experience or witness harassment should report it immediately to their direct supervisor, HR Manager, or any member of management.</w:t>
      </w:r>
    </w:p>
    <w:p>
      <w:pPr>
        <w:pStyle w:val="ListBullet"/>
      </w:pPr>
      <w:r>
        <w:rPr>
          <w:sz w:val="22"/>
        </w:rPr>
        <w:t>Reports may be made verbally or in writing. Anonymous reports are accepted where possible.</w:t>
      </w:r>
    </w:p>
    <w:p>
      <w:pPr>
        <w:pStyle w:val="ListBullet"/>
      </w:pPr>
      <w:r>
        <w:rPr>
          <w:sz w:val="22"/>
        </w:rPr>
        <w:t>All reports will be investigated promptly, thoroughly, and confidentially to the extent practical.</w:t>
      </w:r>
    </w:p>
    <w:p>
      <w:pPr>
        <w:pStyle w:val="Heading2"/>
      </w:pPr>
      <w:r>
        <w:rPr>
          <w:color w:val="1A4731"/>
          <w:sz w:val="24"/>
        </w:rPr>
        <w:t>Consequences</w:t>
      </w:r>
    </w:p>
    <w:p>
      <w:pPr>
        <w:pStyle w:val="ListBullet"/>
      </w:pPr>
      <w:r>
        <w:rPr>
          <w:sz w:val="22"/>
        </w:rPr>
        <w:t>Violations of this policy will result in disciplinary action up to and including termination.</w:t>
      </w:r>
    </w:p>
    <w:p>
      <w:pPr>
        <w:pStyle w:val="ListBullet"/>
      </w:pPr>
      <w:r>
        <w:rPr>
          <w:sz w:val="22"/>
        </w:rPr>
        <w:t>Supervisors who fail to report or address known harassment may face separate disciplinary action.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