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44767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00"/>
        <w:jc w:val="center"/>
      </w:pPr>
      <w:r>
        <w:rPr>
          <w:rFonts w:ascii="Arial" w:cs="Arial" w:eastAsia="Arial" w:hAnsi="Arial"/>
          <w:b/>
          <w:bCs/>
          <w:color w:val="445468"/>
          <w:spacing w:val="40"/>
          <w:sz w:val="30"/>
          <w:szCs w:val="30"/>
        </w:rPr>
        <w:t xml:space="preserve">BRAND GUIDELINES</w:t>
      </w:r>
    </w:p>
    <w:p>
      <w:pPr>
        <w:spacing w:before="120"/>
        <w:jc w:val="center"/>
      </w:pPr>
      <w:r>
        <w:rPr>
          <w:rFonts w:ascii="Arial" w:cs="Arial" w:eastAsia="Arial" w:hAnsi="Arial"/>
          <w:color w:val="7A8794"/>
          <w:sz w:val="20"/>
          <w:szCs w:val="20"/>
        </w:rPr>
        <w:t xml:space="preserve">Formerly PK Dispatching  ·  Version 1.0  ·  2026</w:t>
      </w:r>
    </w:p>
    <w:p>
      <w:pPr>
        <w:sectPr>
          <w:pgSz w:w="12240" w:h="15840" w:orient="portrait"/>
          <w:pgMar w:top="900" w:right="1000" w:bottom="900" w:left="100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color w:val="F3A73A"/>
          <w:spacing w:val="20"/>
          <w:sz w:val="18"/>
          <w:szCs w:val="18"/>
        </w:rPr>
        <w:t xml:space="preserve">01 — THE NAME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E1F33"/>
          <w:sz w:val="40"/>
          <w:szCs w:val="40"/>
        </w:rPr>
        <w:t xml:space="preserve">Why LP3</w:t>
      </w:r>
    </w:p>
    <w:p>
      <w:pPr>
        <w:spacing w:after="16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LP3 Dispatching replaces PK Dispatching as the name on every load, invoice, and truck door. The “3” isn't decoration — it stands for family, the reason the business exists in the first place. That personal meaning is the foundation the whole identity is built on.</w:t>
      </w:r>
    </w:p>
    <w:p>
      <w:pPr>
        <w:spacing w:after="16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The mark translates that meaning directly: three lines — three individuals — converge into a single path and rise forward as one arrow. It's not a generic logistics icon; it's specific to this company and impossible to mistake for a stock trucking logo.</w:t>
      </w:r>
    </w:p>
    <w:p>
      <w:pPr>
        <w:pBdr>
          <w:bottom w:val="single" w:color="F3A73A" w:sz="6"/>
        </w:pBdr>
        <w:spacing w:after="200" w:before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F3A73A"/>
          <w:spacing w:val="20"/>
          <w:sz w:val="18"/>
          <w:szCs w:val="18"/>
        </w:rPr>
        <w:t xml:space="preserve">TAGLINE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E1F33"/>
          <w:sz w:val="26"/>
          <w:szCs w:val="26"/>
        </w:rPr>
        <w:t xml:space="preserve">Move Smarter. Earn More.</w:t>
      </w:r>
    </w:p>
    <w:p>
      <w:pPr>
        <w:spacing w:after="16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Kept from the earlier direction — it still does the job: “Smarter” signals disciplined dispatching, “Earn More” speaks straight to carrier income.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A73A"/>
          <w:spacing w:val="20"/>
          <w:sz w:val="18"/>
          <w:szCs w:val="18"/>
        </w:rPr>
        <w:t xml:space="preserve">VOICE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Direct and plain-spoken — written the way you'd talk to a driver on the phone, not corporate copy.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Confident, never hypey — earns trust with specifics (rates, lanes, uptime), not exclamation points.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Personal without oversharing — the family meaning lives in the mark itself; it doesn't need to be explained on every touchpoint to carry weight.</w:t>
      </w:r>
    </w:p>
    <w:p>
      <w:pPr>
        <w:sectPr>
          <w:pgSz w:w="12240" w:h="15840" w:orient="portrait"/>
          <w:pgMar w:top="900" w:right="1000" w:bottom="900" w:left="100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color w:val="F3A73A"/>
          <w:spacing w:val="20"/>
          <w:sz w:val="18"/>
          <w:szCs w:val="18"/>
        </w:rPr>
        <w:t xml:space="preserve">02 — LOGO SUITE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E1F33"/>
          <w:sz w:val="40"/>
          <w:szCs w:val="40"/>
        </w:rPr>
        <w:t xml:space="preserve">The Mark</w:t>
      </w:r>
    </w:p>
    <w:p>
      <w:pPr>
        <w:spacing w:after="16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The icon reads as a road-merge sign at a glance — three lanes becoming one — which is exactly the point: three people behind one business, one road ahead. It works equally well as a private reference for you and as a clean, professional mark to anyone who never learns the story.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E1F33"/>
          <w:sz w:val="20"/>
          <w:szCs w:val="20"/>
        </w:rPr>
        <w:t xml:space="preserve">Primary lockup</w:t>
      </w:r>
    </w:p>
    <w:p>
      <w:r>
        <w:drawing>
          <wp:inline distT="0" distB="0" distL="0" distR="0">
            <wp:extent cx="4191000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E1F33"/>
          <w:sz w:val="20"/>
          <w:szCs w:val="20"/>
        </w:rPr>
        <w:t xml:space="preserve">Icon / badge mark</w:t>
      </w:r>
    </w:p>
    <w:p>
      <w:pPr>
        <w:spacing w:after="16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Used standalone for app icons, driver-facing decals, favicons, and anywhere the full wordmark won't fit.</w:t>
      </w:r>
    </w:p>
    <w:p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0E1F33"/>
          <w:sz w:val="20"/>
          <w:szCs w:val="20"/>
        </w:rPr>
        <w:t xml:space="preserve">Reversed lockup (for navy, black, or photographic backgrounds)</w:t>
      </w:r>
    </w:p>
    <w:p>
      <w:r>
        <w:drawing>
          <wp:inline distT="0" distB="0" distL="0" distR="0">
            <wp:extent cx="4191000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F3A73A" w:sz="6"/>
        </w:pBdr>
        <w:spacing w:after="200" w:before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F3A73A"/>
          <w:spacing w:val="20"/>
          <w:sz w:val="18"/>
          <w:szCs w:val="18"/>
        </w:rPr>
        <w:t xml:space="preserve">CLEAR SPACE &amp; MINIMUM SIZE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Maintain clear space around the badge equal to its own height on all sides.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Minimum size: 0.4″ tall for the icon alone, 1.25″ wide for the full lockup. Below that, drop to the icon only.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A73A"/>
          <w:spacing w:val="20"/>
          <w:sz w:val="18"/>
          <w:szCs w:val="18"/>
        </w:rPr>
        <w:t xml:space="preserve">DON'TS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Don't recolor the badge outside the approved palette.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Don't stretch, rotate, or skew the mark, and don't change the angle of the converging lines.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Don't place the full-color lockup on a busy photo — use the reversed version on a solid navy panel instead.</w:t>
      </w:r>
    </w:p>
    <w:p>
      <w:pPr>
        <w:sectPr>
          <w:pgSz w:w="12240" w:h="15840" w:orient="portrait"/>
          <w:pgMar w:top="900" w:right="1000" w:bottom="900" w:left="100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color w:val="F3A73A"/>
          <w:spacing w:val="20"/>
          <w:sz w:val="18"/>
          <w:szCs w:val="18"/>
        </w:rPr>
        <w:t xml:space="preserve">03 — COLOR PALETTE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E1F33"/>
          <w:sz w:val="40"/>
          <w:szCs w:val="40"/>
        </w:rPr>
        <w:t xml:space="preserve">Ink, Steel &amp; Signal Amber</w:t>
      </w:r>
    </w:p>
    <w:p>
      <w:pPr>
        <w:spacing w:after="16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The palette carries over from the road itself: asphalt navy, steel-gray equipment tones, and the amber of highway signage — a color drivers already read as attention and forward motion.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E1F33" w:val="clear"/>
            <w:tcMar>
              <w:top w:type="dxa" w:w="200"/>
              <w:left w:type="dxa" w:w="150"/>
              <w:bottom w:type="dxa" w:w="900"/>
              <w:right w:type="dxa" w:w="15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40"/>
            <w:shd w:fill="445468" w:val="clear"/>
            <w:tcMar>
              <w:top w:type="dxa" w:w="200"/>
              <w:left w:type="dxa" w:w="150"/>
              <w:bottom w:type="dxa" w:w="900"/>
              <w:right w:type="dxa" w:w="15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40"/>
            <w:shd w:fill="F3A73A" w:val="clear"/>
            <w:tcMar>
              <w:top w:type="dxa" w:w="200"/>
              <w:left w:type="dxa" w:w="150"/>
              <w:bottom w:type="dxa" w:w="900"/>
              <w:right w:type="dxa" w:w="15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40"/>
            <w:shd w:fill="ECEAE3" w:val="clear"/>
            <w:tcMar>
              <w:top w:type="dxa" w:w="200"/>
              <w:left w:type="dxa" w:w="150"/>
              <w:bottom w:type="dxa" w:w="900"/>
              <w:right w:type="dxa" w:w="15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E1F33"/>
                <w:sz w:val="20"/>
                <w:szCs w:val="20"/>
              </w:rPr>
              <w:t xml:space="preserve">Ink Navy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7A8794"/>
                <w:sz w:val="18"/>
                <w:szCs w:val="18"/>
              </w:rPr>
              <w:t xml:space="preserve">#0E1F33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1B2530"/>
                <w:sz w:val="18"/>
                <w:szCs w:val="18"/>
              </w:rPr>
              <w:t xml:space="preserve">Primary. Wordmark, badge fill, headers.</w:t>
            </w:r>
          </w:p>
        </w:tc>
        <w:tc>
          <w:tcPr>
            <w:tcW w:type="dxa" w:w="2340"/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E1F33"/>
                <w:sz w:val="20"/>
                <w:szCs w:val="20"/>
              </w:rPr>
              <w:t xml:space="preserve">Steel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7A8794"/>
                <w:sz w:val="18"/>
                <w:szCs w:val="18"/>
              </w:rPr>
              <w:t xml:space="preserve">#445468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1B2530"/>
                <w:sz w:val="18"/>
                <w:szCs w:val="18"/>
              </w:rPr>
              <w:t xml:space="preserve">Secondary text, subheads.</w:t>
            </w:r>
          </w:p>
        </w:tc>
        <w:tc>
          <w:tcPr>
            <w:tcW w:type="dxa" w:w="2340"/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E1F33"/>
                <w:sz w:val="20"/>
                <w:szCs w:val="20"/>
              </w:rPr>
              <w:t xml:space="preserve">Signal Amber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7A8794"/>
                <w:sz w:val="18"/>
                <w:szCs w:val="18"/>
              </w:rPr>
              <w:t xml:space="preserve">#F3A73A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1B2530"/>
                <w:sz w:val="18"/>
                <w:szCs w:val="18"/>
              </w:rPr>
              <w:t xml:space="preserve">Accent only — mark, dividers, CTAs.</w:t>
            </w:r>
          </w:p>
        </w:tc>
        <w:tc>
          <w:tcPr>
            <w:tcW w:type="dxa" w:w="2340"/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E1F33"/>
                <w:sz w:val="20"/>
                <w:szCs w:val="20"/>
              </w:rPr>
              <w:t xml:space="preserve">Concrete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7A8794"/>
                <w:sz w:val="18"/>
                <w:szCs w:val="18"/>
              </w:rPr>
              <w:t xml:space="preserve">#ECEAE3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1B2530"/>
                <w:sz w:val="18"/>
                <w:szCs w:val="18"/>
              </w:rPr>
              <w:t xml:space="preserve">Backgrounds, section panels.</w:t>
            </w:r>
          </w:p>
        </w:tc>
      </w:tr>
    </w:tbl>
    <w:p>
      <w:pPr>
        <w:pBdr>
          <w:bottom w:val="single" w:color="F3A73A" w:sz="6"/>
        </w:pBdr>
        <w:spacing w:after="200" w:before="1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Rule of thumb: navy carries the brand, amber earns its place by pointing at the one thing that matters on the page — a button, a rate, a phone number. Never use amber as a large background field.</w:t>
      </w:r>
    </w:p>
    <w:p>
      <w:pPr>
        <w:sectPr>
          <w:pgSz w:w="12240" w:h="15840" w:orient="portrait"/>
          <w:pgMar w:top="900" w:right="1000" w:bottom="900" w:left="100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color w:val="F3A73A"/>
          <w:spacing w:val="20"/>
          <w:sz w:val="18"/>
          <w:szCs w:val="18"/>
        </w:rPr>
        <w:t xml:space="preserve">04 — TYPOGRAPHY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E1F33"/>
          <w:sz w:val="40"/>
          <w:szCs w:val="40"/>
        </w:rPr>
        <w:t xml:space="preserve">Two Weights, One Job Each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E1F33"/>
          <w:spacing w:val="10"/>
          <w:sz w:val="60"/>
          <w:szCs w:val="60"/>
        </w:rPr>
        <w:t xml:space="preserve">LP3</w:t>
      </w:r>
    </w:p>
    <w:p>
      <w:pPr>
        <w:spacing w:after="16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Display / Wordmark — Arial Black or Archivo Black, all caps, tight tracking. Reserved for the logo and major headlines only.</w:t>
      </w:r>
    </w:p>
    <w:p>
      <w:pPr>
        <w:spacing w:after="60" w:before="300"/>
      </w:pPr>
      <w:r>
        <w:rPr>
          <w:rFonts w:ascii="Arial" w:cs="Arial" w:eastAsia="Arial" w:hAnsi="Arial"/>
          <w:b/>
          <w:bCs/>
          <w:color w:val="445468"/>
          <w:sz w:val="28"/>
          <w:szCs w:val="28"/>
        </w:rPr>
        <w:t xml:space="preserve">Move Smarter. Earn More.</w:t>
      </w:r>
    </w:p>
    <w:p>
      <w:pPr>
        <w:spacing w:after="16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Headline / Subhead — Arial Bold or Barlow Semibold. Taglines, section headers, callouts.</w:t>
      </w:r>
    </w:p>
    <w:p>
      <w:pPr>
        <w:spacing w:after="60" w:before="300"/>
      </w:pPr>
      <w:r>
        <w:rPr>
          <w:rFonts w:ascii="Arial" w:cs="Arial" w:eastAsia="Arial" w:hAnsi="Arial"/>
          <w:color w:val="1B2530"/>
          <w:sz w:val="22"/>
          <w:szCs w:val="22"/>
        </w:rPr>
        <w:t xml:space="preserve">Rate confirmations, load details, and driver settlements should read clearly at a glance.</w:t>
      </w:r>
    </w:p>
    <w:p>
      <w:pPr>
        <w:spacing w:after="16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Body / UI — Arial Regular or Inter. All running text: invoices, emails, the website, app copy.</w:t>
      </w:r>
    </w:p>
    <w:p>
      <w:pPr>
        <w:sectPr>
          <w:pgSz w:w="12240" w:h="15840" w:orient="portrait"/>
          <w:pgMar w:top="900" w:right="1000" w:bottom="900" w:left="100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color w:val="F3A73A"/>
          <w:spacing w:val="20"/>
          <w:sz w:val="18"/>
          <w:szCs w:val="18"/>
        </w:rPr>
        <w:t xml:space="preserve">05 — APPLICATIONS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E1F33"/>
          <w:sz w:val="40"/>
          <w:szCs w:val="40"/>
        </w:rPr>
        <w:t xml:space="preserve">Where the Brand Shows Up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E1F33"/>
          <w:sz w:val="22"/>
          <w:szCs w:val="22"/>
        </w:rPr>
        <w:t xml:space="preserve">Truck door / trailer decal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Reversed lockup centered on the door; badge only on the trailer rear if space is tight.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Add MC# and DOT# beneath the tagline in Steel, small caps, per FMCSA marking requirements.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E1F33"/>
          <w:sz w:val="22"/>
          <w:szCs w:val="22"/>
        </w:rPr>
        <w:t xml:space="preserve">Business card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Front: icon badge centered on Concrete background.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Back: primary lockup, name/title in Steel, phone and MC# in Ink Navy, Amber rule dividing contact block from dispatch line.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E1F33"/>
          <w:sz w:val="22"/>
          <w:szCs w:val="22"/>
        </w:rPr>
        <w:t xml:space="preserve">Invoice &amp; rate confirmation header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Primary lockup top-left, document title (“RATE CONFIRMATION” / “INVOICE”) top-right in Steel small caps.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Amber rule under the header block; all totals in Ink Navy bold.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E1F33"/>
          <w:sz w:val="22"/>
          <w:szCs w:val="22"/>
        </w:rPr>
        <w:t xml:space="preserve">Social &amp; load-board profile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Icon badge as the profile photo — the three-lines mark stays legible even tiny.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B2530"/>
          <w:sz w:val="21"/>
          <w:szCs w:val="21"/>
        </w:rPr>
        <w:t xml:space="preserve">Primary lockup as the cover/banner image on a Concrete or Navy field.</w:t>
      </w:r>
    </w:p>
    <w:p>
      <w:pPr>
        <w:pBdr>
          <w:bottom w:val="single" w:color="F3A73A" w:sz="6"/>
        </w:pBdr>
        <w:spacing w:after="200" w:before="1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7A8794"/>
          <w:sz w:val="21"/>
          <w:szCs w:val="21"/>
        </w:rPr>
        <w:t xml:space="preserve">Every touchpoint should carry either the full lockup or the icon — never the wordmark without the mark. Consistency across the truck, the paperwork, and the load board is what makes LP3 recognizable to repeat brokers and dispatchers.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55b507a710f1479f15e6724db11035aec720c2.png"/><Relationship Id="rId8" Type="http://schemas.openxmlformats.org/officeDocument/2006/relationships/image" Target="media/338a22bbd172af63a68de68ec1dd8bb866219261.png"/><Relationship Id="rId9" Type="http://schemas.openxmlformats.org/officeDocument/2006/relationships/image" Target="media/3255a997a6edc63ef143c973aa799bff276f822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2026-08-13T19:47:28.004Z</dcterms:created>
  <dcterms:modified xsi:type="dcterms:W3CDTF">2026-08-13T19:47:28.019Z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