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4572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323975"/>
                    </a:xfrm>
                    <a:prstGeom prst="rect">
                      <a:avLst/>
                    </a:prstGeom>
                  </pic:spPr>
                </pic:pic>
              </a:graphicData>
            </a:graphic>
          </wp:inline>
        </w:drawing>
      </w:r>
    </w:p>
    <w:p>
      <w:pPr>
        <w:spacing w:before="900"/>
        <w:jc w:val="center"/>
      </w:pPr>
      <w:r>
        <w:rPr>
          <w:rFonts w:ascii="Arial" w:cs="Arial" w:eastAsia="Arial" w:hAnsi="Arial"/>
          <w:b/>
          <w:bCs/>
          <w:color w:val="445468"/>
          <w:spacing w:val="40"/>
          <w:sz w:val="30"/>
          <w:szCs w:val="30"/>
        </w:rPr>
        <w:t xml:space="preserve">BRAND GUIDELINES</w:t>
      </w:r>
    </w:p>
    <w:p>
      <w:pPr>
        <w:spacing w:before="120"/>
        <w:jc w:val="center"/>
      </w:pPr>
      <w:r>
        <w:rPr>
          <w:rFonts w:ascii="Arial" w:cs="Arial" w:eastAsia="Arial" w:hAnsi="Arial"/>
          <w:color w:val="7A8794"/>
          <w:sz w:val="20"/>
          <w:szCs w:val="20"/>
        </w:rPr>
        <w:t xml:space="preserve">Formerly PK Dispatching  ·  Version 1.0  ·  2026</w:t>
      </w:r>
    </w:p>
    <w:p>
      <w:pPr>
        <w:sectPr>
          <w:pgSz w:w="12240" w:h="15840" w:orient="portrait"/>
          <w:pgMar w:top="900" w:right="1000" w:bottom="900" w:left="1000" w:header="708" w:footer="708" w:gutter="0"/>
          <w:pgNumType/>
          <w:docGrid w:linePitch="360"/>
        </w:sectPr>
      </w:pPr>
    </w:p>
    <w:p>
      <w:pPr>
        <w:spacing w:after="60"/>
      </w:pPr>
      <w:r>
        <w:rPr>
          <w:rFonts w:ascii="Arial" w:cs="Arial" w:eastAsia="Arial" w:hAnsi="Arial"/>
          <w:b/>
          <w:bCs/>
          <w:color w:val="F3A73A"/>
          <w:spacing w:val="20"/>
          <w:sz w:val="18"/>
          <w:szCs w:val="18"/>
        </w:rPr>
        <w:t xml:space="preserve">01 — THE REBRAND</w:t>
      </w:r>
    </w:p>
    <w:p>
      <w:pPr>
        <w:spacing w:after="200" w:before="200"/>
      </w:pPr>
      <w:r>
        <w:rPr>
          <w:rFonts w:ascii="Arial" w:cs="Arial" w:eastAsia="Arial" w:hAnsi="Arial"/>
          <w:b/>
          <w:bCs/>
          <w:color w:val="0E1F33"/>
          <w:sz w:val="40"/>
          <w:szCs w:val="40"/>
        </w:rPr>
        <w:t xml:space="preserve">From PK Dispatching to Haulvera</w:t>
      </w:r>
    </w:p>
    <w:p>
      <w:pPr>
        <w:spacing w:after="160"/>
      </w:pPr>
      <w:r>
        <w:rPr>
          <w:rFonts w:ascii="Arial" w:cs="Arial" w:eastAsia="Arial" w:hAnsi="Arial"/>
          <w:color w:val="1B2530"/>
          <w:sz w:val="21"/>
          <w:szCs w:val="21"/>
        </w:rPr>
        <w:t xml:space="preserve">Haulvera replaces PK Dispatching as the single name for the company across every carrier interaction, from load boards and invoices to truck signage and driver recruiting. The new name is built to scale beyond one owner-operator identity into a brand that carriers, brokers, and drivers recognize and trust.</w:t>
      </w:r>
    </w:p>
    <w:p>
      <w:pPr>
        <w:spacing w:after="160"/>
      </w:pPr>
      <w:r>
        <w:rPr>
          <w:rFonts w:ascii="Arial" w:cs="Arial" w:eastAsia="Arial" w:hAnsi="Arial"/>
          <w:color w:val="1B2530"/>
          <w:sz w:val="21"/>
          <w:szCs w:val="21"/>
        </w:rPr>
        <w:t xml:space="preserve">“Haulvera” pairs haul — the core of the work — with a suffix that reads as established and dependable, closer to a carrier that has been running lanes for years than a solo dispatcher just getting started. It is short, easy to say over the phone or radio, and free of geographic limits, so it can grow past the NJ metro market without a rename.</w:t>
      </w:r>
    </w:p>
    <w:p>
      <w:pPr>
        <w:pBdr>
          <w:bottom w:val="single" w:color="F3A73A" w:sz="6"/>
        </w:pBdr>
        <w:spacing w:after="200" w:before="100"/>
      </w:pPr>
      <w:r>
        <w:t xml:space="preserve"/>
      </w:r>
    </w:p>
    <w:p>
      <w:pPr>
        <w:spacing w:after="60"/>
      </w:pPr>
      <w:r>
        <w:rPr>
          <w:rFonts w:ascii="Arial" w:cs="Arial" w:eastAsia="Arial" w:hAnsi="Arial"/>
          <w:b/>
          <w:bCs/>
          <w:color w:val="F3A73A"/>
          <w:spacing w:val="20"/>
          <w:sz w:val="18"/>
          <w:szCs w:val="18"/>
        </w:rPr>
        <w:t xml:space="preserve">POSITIONING</w:t>
      </w:r>
    </w:p>
    <w:p>
      <w:pPr>
        <w:spacing w:after="160"/>
      </w:pPr>
      <w:r>
        <w:rPr>
          <w:rFonts w:ascii="Arial" w:cs="Arial" w:eastAsia="Arial" w:hAnsi="Arial"/>
          <w:b w:val="false"/>
          <w:bCs w:val="false"/>
          <w:color w:val="1B2530"/>
          <w:sz w:val="21"/>
          <w:szCs w:val="21"/>
        </w:rPr>
        <w:t xml:space="preserve">Haulvera is a carrier and logistics partner for owner-operators and small fleets who want dispatching that is run like a real business — vetted loads, clear rate confirmations, and a dispatcher who treats their truck like an asset, not a number.</w:t>
      </w:r>
    </w:p>
    <w:p>
      <w:pPr>
        <w:spacing w:after="60"/>
      </w:pPr>
      <w:r>
        <w:rPr>
          <w:rFonts w:ascii="Arial" w:cs="Arial" w:eastAsia="Arial" w:hAnsi="Arial"/>
          <w:b/>
          <w:bCs/>
          <w:color w:val="F3A73A"/>
          <w:spacing w:val="20"/>
          <w:sz w:val="18"/>
          <w:szCs w:val="18"/>
        </w:rPr>
        <w:t xml:space="preserve">TAGLINE</w:t>
      </w:r>
    </w:p>
    <w:p>
      <w:pPr>
        <w:spacing w:after="160"/>
      </w:pPr>
      <w:r>
        <w:rPr>
          <w:rFonts w:ascii="Arial" w:cs="Arial" w:eastAsia="Arial" w:hAnsi="Arial"/>
          <w:b/>
          <w:bCs/>
          <w:color w:val="0E1F33"/>
          <w:sz w:val="26"/>
          <w:szCs w:val="26"/>
        </w:rPr>
        <w:t xml:space="preserve">Move Smarter. Earn More.</w:t>
      </w:r>
    </w:p>
    <w:p>
      <w:pPr>
        <w:spacing w:after="160"/>
      </w:pPr>
      <w:r>
        <w:rPr>
          <w:rFonts w:ascii="Arial" w:cs="Arial" w:eastAsia="Arial" w:hAnsi="Arial"/>
          <w:color w:val="1B2530"/>
          <w:sz w:val="21"/>
          <w:szCs w:val="21"/>
        </w:rPr>
        <w:t xml:space="preserve">Used as the standard tagline beneath the wordmark. “Smarter” signals better routing and load selection; “Earn More” speaks directly to the driver's bottom line — the thing every carrier actually cares about.</w:t>
      </w:r>
    </w:p>
    <w:p>
      <w:pPr>
        <w:spacing w:after="60"/>
      </w:pPr>
      <w:r>
        <w:rPr>
          <w:rFonts w:ascii="Arial" w:cs="Arial" w:eastAsia="Arial" w:hAnsi="Arial"/>
          <w:b/>
          <w:bCs/>
          <w:color w:val="F3A73A"/>
          <w:spacing w:val="20"/>
          <w:sz w:val="18"/>
          <w:szCs w:val="18"/>
        </w:rPr>
        <w:t xml:space="preserve">VOICE</w:t>
      </w:r>
    </w:p>
    <w:p>
      <w:pPr>
        <w:pStyle w:val="ListParagraph"/>
        <w:numPr>
          <w:ilvl w:val="0"/>
          <w:numId w:val="1"/>
        </w:numPr>
        <w:spacing w:after="80"/>
      </w:pPr>
      <w:r>
        <w:rPr>
          <w:rFonts w:ascii="Arial" w:cs="Arial" w:eastAsia="Arial" w:hAnsi="Arial"/>
          <w:color w:val="1B2530"/>
          <w:sz w:val="21"/>
          <w:szCs w:val="21"/>
        </w:rPr>
        <w:t xml:space="preserve">Direct and plain-spoken — written the way you'd talk to a driver on the phone, not corporate copy.</w:t>
      </w:r>
    </w:p>
    <w:p>
      <w:pPr>
        <w:pStyle w:val="ListParagraph"/>
        <w:numPr>
          <w:ilvl w:val="0"/>
          <w:numId w:val="1"/>
        </w:numPr>
        <w:spacing w:after="80"/>
      </w:pPr>
      <w:r>
        <w:rPr>
          <w:rFonts w:ascii="Arial" w:cs="Arial" w:eastAsia="Arial" w:hAnsi="Arial"/>
          <w:color w:val="1B2530"/>
          <w:sz w:val="21"/>
          <w:szCs w:val="21"/>
        </w:rPr>
        <w:t xml:space="preserve">Confident, never hypey. Haulvera earns trust with specifics (rates, lanes, uptime), not exclamation points.</w:t>
      </w:r>
    </w:p>
    <w:p>
      <w:pPr>
        <w:pStyle w:val="ListParagraph"/>
        <w:numPr>
          <w:ilvl w:val="0"/>
          <w:numId w:val="1"/>
        </w:numPr>
        <w:spacing w:after="80"/>
      </w:pPr>
      <w:r>
        <w:rPr>
          <w:rFonts w:ascii="Arial" w:cs="Arial" w:eastAsia="Arial" w:hAnsi="Arial"/>
          <w:color w:val="1B2530"/>
          <w:sz w:val="21"/>
          <w:szCs w:val="21"/>
        </w:rPr>
        <w:t xml:space="preserve">Respectful of the driver's time — short sentences, no filler, the number or the answer up front.</w:t>
      </w:r>
    </w:p>
    <w:p>
      <w:pPr>
        <w:sectPr>
          <w:pgSz w:w="12240" w:h="15840" w:orient="portrait"/>
          <w:pgMar w:top="900" w:right="1000" w:bottom="900" w:left="1000" w:header="708" w:footer="708" w:gutter="0"/>
          <w:pgNumType/>
          <w:docGrid w:linePitch="360"/>
        </w:sectPr>
      </w:pPr>
    </w:p>
    <w:p>
      <w:pPr>
        <w:spacing w:after="60"/>
      </w:pPr>
      <w:r>
        <w:rPr>
          <w:rFonts w:ascii="Arial" w:cs="Arial" w:eastAsia="Arial" w:hAnsi="Arial"/>
          <w:b/>
          <w:bCs/>
          <w:color w:val="F3A73A"/>
          <w:spacing w:val="20"/>
          <w:sz w:val="18"/>
          <w:szCs w:val="18"/>
        </w:rPr>
        <w:t xml:space="preserve">02 — LOGO SUITE</w:t>
      </w:r>
    </w:p>
    <w:p>
      <w:pPr>
        <w:spacing w:after="200" w:before="200"/>
      </w:pPr>
      <w:r>
        <w:rPr>
          <w:rFonts w:ascii="Arial" w:cs="Arial" w:eastAsia="Arial" w:hAnsi="Arial"/>
          <w:b/>
          <w:bCs/>
          <w:color w:val="0E1F33"/>
          <w:sz w:val="40"/>
          <w:szCs w:val="40"/>
        </w:rPr>
        <w:t xml:space="preserve">The Mark</w:t>
      </w:r>
    </w:p>
    <w:p>
      <w:pPr>
        <w:spacing w:after="160"/>
      </w:pPr>
      <w:r>
        <w:rPr>
          <w:rFonts w:ascii="Arial" w:cs="Arial" w:eastAsia="Arial" w:hAnsi="Arial"/>
          <w:color w:val="1B2530"/>
          <w:sz w:val="21"/>
          <w:szCs w:val="21"/>
        </w:rPr>
        <w:t xml:space="preserve">The Haulvera mark is a route-shield badge built around a monogram “H.” The crossbar is rendered as a dashed lane line, and the right edge carries a small forward-facing arrow — a direct reference to the road and to forward motion, without leaning on a literal truck icon that would date quickly.</w:t>
      </w:r>
    </w:p>
    <w:p>
      <w:pPr>
        <w:spacing w:after="100" w:before="200"/>
      </w:pPr>
      <w:r>
        <w:rPr>
          <w:rFonts w:ascii="Arial" w:cs="Arial" w:eastAsia="Arial" w:hAnsi="Arial"/>
          <w:b/>
          <w:bCs/>
          <w:color w:val="0E1F33"/>
          <w:sz w:val="20"/>
          <w:szCs w:val="20"/>
        </w:rPr>
        <w:t xml:space="preserve">Primary lockup</w:t>
      </w:r>
    </w:p>
    <w:p>
      <w:r>
        <w:drawing>
          <wp:inline distT="0" distB="0" distL="0" distR="0">
            <wp:extent cx="4000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162050"/>
                    </a:xfrm>
                    <a:prstGeom prst="rect">
                      <a:avLst/>
                    </a:prstGeom>
                  </pic:spPr>
                </pic:pic>
              </a:graphicData>
            </a:graphic>
          </wp:inline>
        </w:drawing>
      </w:r>
    </w:p>
    <w:p>
      <w:pPr>
        <w:spacing w:after="100" w:before="300"/>
      </w:pPr>
      <w:r>
        <w:rPr>
          <w:rFonts w:ascii="Arial" w:cs="Arial" w:eastAsia="Arial" w:hAnsi="Arial"/>
          <w:b/>
          <w:bCs/>
          <w:color w:val="0E1F33"/>
          <w:sz w:val="20"/>
          <w:szCs w:val="20"/>
        </w:rPr>
        <w:t xml:space="preserve">Icon / badge mark</w:t>
      </w:r>
    </w:p>
    <w:p>
      <w:pPr>
        <w:spacing w:after="160"/>
      </w:pPr>
      <w:r>
        <w:rPr>
          <w:rFonts w:ascii="Arial" w:cs="Arial" w:eastAsia="Arial" w:hAnsi="Arial"/>
          <w:color w:val="1B2530"/>
          <w:sz w:val="21"/>
          <w:szCs w:val="21"/>
        </w:rPr>
        <w:t xml:space="preserve">Used standalone for app icons, driver-facing decals, favicons, and anywhere the full wordmark won't fit.</w:t>
      </w:r>
    </w:p>
    <w:p>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100" w:before="300"/>
      </w:pPr>
      <w:r>
        <w:rPr>
          <w:rFonts w:ascii="Arial" w:cs="Arial" w:eastAsia="Arial" w:hAnsi="Arial"/>
          <w:b/>
          <w:bCs/>
          <w:color w:val="0E1F33"/>
          <w:sz w:val="20"/>
          <w:szCs w:val="20"/>
        </w:rPr>
        <w:t xml:space="preserve">Reversed lockup (for navy, black, or photographic backgrounds)</w:t>
      </w:r>
    </w:p>
    <w:p>
      <w:r>
        <w:drawing>
          <wp:inline distT="0" distB="0" distL="0" distR="0">
            <wp:extent cx="4000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152525"/>
                    </a:xfrm>
                    <a:prstGeom prst="rect">
                      <a:avLst/>
                    </a:prstGeom>
                  </pic:spPr>
                </pic:pic>
              </a:graphicData>
            </a:graphic>
          </wp:inline>
        </w:drawing>
      </w:r>
    </w:p>
    <w:p>
      <w:pPr>
        <w:pBdr>
          <w:bottom w:val="single" w:color="F3A73A" w:sz="6"/>
        </w:pBdr>
        <w:spacing w:after="200" w:before="100"/>
      </w:pPr>
      <w:r>
        <w:t xml:space="preserve"/>
      </w:r>
    </w:p>
    <w:p>
      <w:pPr>
        <w:spacing w:after="60"/>
      </w:pPr>
      <w:r>
        <w:rPr>
          <w:rFonts w:ascii="Arial" w:cs="Arial" w:eastAsia="Arial" w:hAnsi="Arial"/>
          <w:b/>
          <w:bCs/>
          <w:color w:val="F3A73A"/>
          <w:spacing w:val="20"/>
          <w:sz w:val="18"/>
          <w:szCs w:val="18"/>
        </w:rPr>
        <w:t xml:space="preserve">CLEAR SPACE &amp; MINIMUM SIZE</w:t>
      </w:r>
    </w:p>
    <w:p>
      <w:pPr>
        <w:pStyle w:val="ListParagraph"/>
        <w:numPr>
          <w:ilvl w:val="0"/>
          <w:numId w:val="1"/>
        </w:numPr>
        <w:spacing w:after="80"/>
      </w:pPr>
      <w:r>
        <w:rPr>
          <w:rFonts w:ascii="Arial" w:cs="Arial" w:eastAsia="Arial" w:hAnsi="Arial"/>
          <w:color w:val="1B2530"/>
          <w:sz w:val="21"/>
          <w:szCs w:val="21"/>
        </w:rPr>
        <w:t xml:space="preserve">Maintain clear space around the mark equal to the height of the badge on all sides — no text, edges, or other graphics inside that margin.</w:t>
      </w:r>
    </w:p>
    <w:p>
      <w:pPr>
        <w:pStyle w:val="ListParagraph"/>
        <w:numPr>
          <w:ilvl w:val="0"/>
          <w:numId w:val="1"/>
        </w:numPr>
        <w:spacing w:after="80"/>
      </w:pPr>
      <w:r>
        <w:rPr>
          <w:rFonts w:ascii="Arial" w:cs="Arial" w:eastAsia="Arial" w:hAnsi="Arial"/>
          <w:color w:val="1B2530"/>
          <w:sz w:val="21"/>
          <w:szCs w:val="21"/>
        </w:rPr>
        <w:t xml:space="preserve">Minimum size: 0.4″ tall for the icon alone, 1.25″ wide for the full lockup. Below that, drop to the icon only.</w:t>
      </w:r>
    </w:p>
    <w:p>
      <w:pPr>
        <w:spacing w:after="60"/>
      </w:pPr>
      <w:r>
        <w:rPr>
          <w:rFonts w:ascii="Arial" w:cs="Arial" w:eastAsia="Arial" w:hAnsi="Arial"/>
          <w:b/>
          <w:bCs/>
          <w:color w:val="F3A73A"/>
          <w:spacing w:val="20"/>
          <w:sz w:val="18"/>
          <w:szCs w:val="18"/>
        </w:rPr>
        <w:t xml:space="preserve">DON'TS</w:t>
      </w:r>
    </w:p>
    <w:p>
      <w:pPr>
        <w:pStyle w:val="ListParagraph"/>
        <w:numPr>
          <w:ilvl w:val="0"/>
          <w:numId w:val="1"/>
        </w:numPr>
        <w:spacing w:after="80"/>
      </w:pPr>
      <w:r>
        <w:rPr>
          <w:rFonts w:ascii="Arial" w:cs="Arial" w:eastAsia="Arial" w:hAnsi="Arial"/>
          <w:color w:val="1B2530"/>
          <w:sz w:val="21"/>
          <w:szCs w:val="21"/>
        </w:rPr>
        <w:t xml:space="preserve">Don't recolor the badge outside the approved palette.</w:t>
      </w:r>
    </w:p>
    <w:p>
      <w:pPr>
        <w:pStyle w:val="ListParagraph"/>
        <w:numPr>
          <w:ilvl w:val="0"/>
          <w:numId w:val="1"/>
        </w:numPr>
        <w:spacing w:after="80"/>
      </w:pPr>
      <w:r>
        <w:rPr>
          <w:rFonts w:ascii="Arial" w:cs="Arial" w:eastAsia="Arial" w:hAnsi="Arial"/>
          <w:color w:val="1B2530"/>
          <w:sz w:val="21"/>
          <w:szCs w:val="21"/>
        </w:rPr>
        <w:t xml:space="preserve">Don't stretch, rotate, or skew the mark.</w:t>
      </w:r>
    </w:p>
    <w:p>
      <w:pPr>
        <w:pStyle w:val="ListParagraph"/>
        <w:numPr>
          <w:ilvl w:val="0"/>
          <w:numId w:val="1"/>
        </w:numPr>
        <w:spacing w:after="80"/>
      </w:pPr>
      <w:r>
        <w:rPr>
          <w:rFonts w:ascii="Arial" w:cs="Arial" w:eastAsia="Arial" w:hAnsi="Arial"/>
          <w:color w:val="1B2530"/>
          <w:sz w:val="21"/>
          <w:szCs w:val="21"/>
        </w:rPr>
        <w:t xml:space="preserve">Don't place the full-color lockup on a busy photo — use the reversed version on a solid navy panel instead.</w:t>
      </w:r>
    </w:p>
    <w:p>
      <w:pPr>
        <w:pStyle w:val="ListParagraph"/>
        <w:numPr>
          <w:ilvl w:val="0"/>
          <w:numId w:val="1"/>
        </w:numPr>
        <w:spacing w:after="80"/>
      </w:pPr>
      <w:r>
        <w:rPr>
          <w:rFonts w:ascii="Arial" w:cs="Arial" w:eastAsia="Arial" w:hAnsi="Arial"/>
          <w:color w:val="1B2530"/>
          <w:sz w:val="21"/>
          <w:szCs w:val="21"/>
        </w:rPr>
        <w:t xml:space="preserve">Don't recreate the wordmark in a different typeface.</w:t>
      </w:r>
    </w:p>
    <w:p>
      <w:pPr>
        <w:sectPr>
          <w:pgSz w:w="12240" w:h="15840" w:orient="portrait"/>
          <w:pgMar w:top="900" w:right="1000" w:bottom="900" w:left="1000" w:header="708" w:footer="708" w:gutter="0"/>
          <w:pgNumType/>
          <w:docGrid w:linePitch="360"/>
        </w:sectPr>
      </w:pPr>
    </w:p>
    <w:p>
      <w:pPr>
        <w:spacing w:after="60"/>
      </w:pPr>
      <w:r>
        <w:rPr>
          <w:rFonts w:ascii="Arial" w:cs="Arial" w:eastAsia="Arial" w:hAnsi="Arial"/>
          <w:b/>
          <w:bCs/>
          <w:color w:val="F3A73A"/>
          <w:spacing w:val="20"/>
          <w:sz w:val="18"/>
          <w:szCs w:val="18"/>
        </w:rPr>
        <w:t xml:space="preserve">03 — COLOR PALETTE</w:t>
      </w:r>
    </w:p>
    <w:p>
      <w:pPr>
        <w:spacing w:after="200" w:before="200"/>
      </w:pPr>
      <w:r>
        <w:rPr>
          <w:rFonts w:ascii="Arial" w:cs="Arial" w:eastAsia="Arial" w:hAnsi="Arial"/>
          <w:b/>
          <w:bCs/>
          <w:color w:val="0E1F33"/>
          <w:sz w:val="40"/>
          <w:szCs w:val="40"/>
        </w:rPr>
        <w:t xml:space="preserve">Ink, Steel &amp; Signal Amber</w:t>
      </w:r>
    </w:p>
    <w:p>
      <w:pPr>
        <w:spacing w:after="160"/>
      </w:pPr>
      <w:r>
        <w:rPr>
          <w:rFonts w:ascii="Arial" w:cs="Arial" w:eastAsia="Arial" w:hAnsi="Arial"/>
          <w:color w:val="1B2530"/>
          <w:sz w:val="21"/>
          <w:szCs w:val="21"/>
        </w:rPr>
        <w:t xml:space="preserve">The palette is drawn from the road itself: asphalt navy, steel-gray equipment tones, and the amber of highway signage and hazard lighting — a color every driver already associates with attention and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0E1F33" w:val="clear"/>
            <w:tcMar>
              <w:top w:type="dxa" w:w="200"/>
              <w:left w:type="dxa" w:w="150"/>
              <w:bottom w:type="dxa" w:w="900"/>
              <w:right w:type="dxa" w:w="150"/>
            </w:tcMar>
          </w:tcPr>
          <w:p>
            <w:r>
              <w:rPr>
                <w:sz w:val="2"/>
                <w:szCs w:val="2"/>
              </w:rPr>
              <w:t xml:space="preserve"> </w:t>
            </w:r>
          </w:p>
        </w:tc>
        <w:tc>
          <w:tcPr>
            <w:tcW w:type="dxa" w:w="2340"/>
            <w:shd w:fill="445468" w:val="clear"/>
            <w:tcMar>
              <w:top w:type="dxa" w:w="200"/>
              <w:left w:type="dxa" w:w="150"/>
              <w:bottom w:type="dxa" w:w="900"/>
              <w:right w:type="dxa" w:w="150"/>
            </w:tcMar>
          </w:tcPr>
          <w:p>
            <w:r>
              <w:rPr>
                <w:sz w:val="2"/>
                <w:szCs w:val="2"/>
              </w:rPr>
              <w:t xml:space="preserve"> </w:t>
            </w:r>
          </w:p>
        </w:tc>
        <w:tc>
          <w:tcPr>
            <w:tcW w:type="dxa" w:w="2340"/>
            <w:shd w:fill="F3A73A" w:val="clear"/>
            <w:tcMar>
              <w:top w:type="dxa" w:w="200"/>
              <w:left w:type="dxa" w:w="150"/>
              <w:bottom w:type="dxa" w:w="900"/>
              <w:right w:type="dxa" w:w="150"/>
            </w:tcMar>
          </w:tcPr>
          <w:p>
            <w:r>
              <w:rPr>
                <w:sz w:val="2"/>
                <w:szCs w:val="2"/>
              </w:rPr>
              <w:t xml:space="preserve"> </w:t>
            </w:r>
          </w:p>
        </w:tc>
        <w:tc>
          <w:tcPr>
            <w:tcW w:type="dxa" w:w="2340"/>
            <w:shd w:fill="ECEAE3" w:val="clear"/>
            <w:tcMar>
              <w:top w:type="dxa" w:w="200"/>
              <w:left w:type="dxa" w:w="150"/>
              <w:bottom w:type="dxa" w:w="900"/>
              <w:right w:type="dxa" w:w="150"/>
            </w:tcMar>
          </w:tcPr>
          <w:p>
            <w:r>
              <w:rPr>
                <w:sz w:val="2"/>
                <w:szCs w:val="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pPr>
              <w:spacing w:before="100"/>
            </w:pPr>
            <w:r>
              <w:rPr>
                <w:rFonts w:ascii="Arial" w:cs="Arial" w:eastAsia="Arial" w:hAnsi="Arial"/>
                <w:b/>
                <w:bCs/>
                <w:color w:val="0E1F33"/>
                <w:sz w:val="20"/>
                <w:szCs w:val="20"/>
              </w:rPr>
              <w:t xml:space="preserve">Ink Navy</w:t>
            </w:r>
          </w:p>
          <w:p>
            <w:pPr>
              <w:spacing w:after="40"/>
            </w:pPr>
            <w:r>
              <w:rPr>
                <w:rFonts w:ascii="Arial" w:cs="Arial" w:eastAsia="Arial" w:hAnsi="Arial"/>
                <w:color w:val="7A8794"/>
                <w:sz w:val="18"/>
                <w:szCs w:val="18"/>
              </w:rPr>
              <w:t xml:space="preserve">#0E1F33</w:t>
            </w:r>
          </w:p>
          <w:p>
            <w:pPr>
              <w:spacing w:after="200"/>
            </w:pPr>
            <w:r>
              <w:rPr>
                <w:rFonts w:ascii="Arial" w:cs="Arial" w:eastAsia="Arial" w:hAnsi="Arial"/>
                <w:color w:val="1B2530"/>
                <w:sz w:val="18"/>
                <w:szCs w:val="18"/>
              </w:rPr>
              <w:t xml:space="preserve">Primary. Wordmark, badge fill, headers.</w:t>
            </w:r>
          </w:p>
        </w:tc>
        <w:tc>
          <w:tcPr>
            <w:tcW w:type="dxa" w:w="2340"/>
          </w:tcPr>
          <w:p>
            <w:pPr>
              <w:spacing w:before="100"/>
            </w:pPr>
            <w:r>
              <w:rPr>
                <w:rFonts w:ascii="Arial" w:cs="Arial" w:eastAsia="Arial" w:hAnsi="Arial"/>
                <w:b/>
                <w:bCs/>
                <w:color w:val="0E1F33"/>
                <w:sz w:val="20"/>
                <w:szCs w:val="20"/>
              </w:rPr>
              <w:t xml:space="preserve">Steel</w:t>
            </w:r>
          </w:p>
          <w:p>
            <w:pPr>
              <w:spacing w:after="40"/>
            </w:pPr>
            <w:r>
              <w:rPr>
                <w:rFonts w:ascii="Arial" w:cs="Arial" w:eastAsia="Arial" w:hAnsi="Arial"/>
                <w:color w:val="7A8794"/>
                <w:sz w:val="18"/>
                <w:szCs w:val="18"/>
              </w:rPr>
              <w:t xml:space="preserve">#445468</w:t>
            </w:r>
          </w:p>
          <w:p>
            <w:pPr>
              <w:spacing w:after="200"/>
            </w:pPr>
            <w:r>
              <w:rPr>
                <w:rFonts w:ascii="Arial" w:cs="Arial" w:eastAsia="Arial" w:hAnsi="Arial"/>
                <w:color w:val="1B2530"/>
                <w:sz w:val="18"/>
                <w:szCs w:val="18"/>
              </w:rPr>
              <w:t xml:space="preserve">Secondary text, tagline.</w:t>
            </w:r>
          </w:p>
        </w:tc>
        <w:tc>
          <w:tcPr>
            <w:tcW w:type="dxa" w:w="2340"/>
          </w:tcPr>
          <w:p>
            <w:pPr>
              <w:spacing w:before="100"/>
            </w:pPr>
            <w:r>
              <w:rPr>
                <w:rFonts w:ascii="Arial" w:cs="Arial" w:eastAsia="Arial" w:hAnsi="Arial"/>
                <w:b/>
                <w:bCs/>
                <w:color w:val="0E1F33"/>
                <w:sz w:val="20"/>
                <w:szCs w:val="20"/>
              </w:rPr>
              <w:t xml:space="preserve">Signal Amber</w:t>
            </w:r>
          </w:p>
          <w:p>
            <w:pPr>
              <w:spacing w:after="40"/>
            </w:pPr>
            <w:r>
              <w:rPr>
                <w:rFonts w:ascii="Arial" w:cs="Arial" w:eastAsia="Arial" w:hAnsi="Arial"/>
                <w:color w:val="7A8794"/>
                <w:sz w:val="18"/>
                <w:szCs w:val="18"/>
              </w:rPr>
              <w:t xml:space="preserve">#F3A73A</w:t>
            </w:r>
          </w:p>
          <w:p>
            <w:pPr>
              <w:spacing w:after="200"/>
            </w:pPr>
            <w:r>
              <w:rPr>
                <w:rFonts w:ascii="Arial" w:cs="Arial" w:eastAsia="Arial" w:hAnsi="Arial"/>
                <w:color w:val="1B2530"/>
                <w:sz w:val="18"/>
                <w:szCs w:val="18"/>
              </w:rPr>
              <w:t xml:space="preserve">Accent only — monogram, dividers, CTAs.</w:t>
            </w:r>
          </w:p>
        </w:tc>
        <w:tc>
          <w:tcPr>
            <w:tcW w:type="dxa" w:w="2340"/>
          </w:tcPr>
          <w:p>
            <w:pPr>
              <w:spacing w:before="100"/>
            </w:pPr>
            <w:r>
              <w:rPr>
                <w:rFonts w:ascii="Arial" w:cs="Arial" w:eastAsia="Arial" w:hAnsi="Arial"/>
                <w:b/>
                <w:bCs/>
                <w:color w:val="0E1F33"/>
                <w:sz w:val="20"/>
                <w:szCs w:val="20"/>
              </w:rPr>
              <w:t xml:space="preserve">Concrete</w:t>
            </w:r>
          </w:p>
          <w:p>
            <w:pPr>
              <w:spacing w:after="40"/>
            </w:pPr>
            <w:r>
              <w:rPr>
                <w:rFonts w:ascii="Arial" w:cs="Arial" w:eastAsia="Arial" w:hAnsi="Arial"/>
                <w:color w:val="7A8794"/>
                <w:sz w:val="18"/>
                <w:szCs w:val="18"/>
              </w:rPr>
              <w:t xml:space="preserve">#ECEAE3</w:t>
            </w:r>
          </w:p>
          <w:p>
            <w:pPr>
              <w:spacing w:after="200"/>
            </w:pPr>
            <w:r>
              <w:rPr>
                <w:rFonts w:ascii="Arial" w:cs="Arial" w:eastAsia="Arial" w:hAnsi="Arial"/>
                <w:color w:val="1B2530"/>
                <w:sz w:val="18"/>
                <w:szCs w:val="18"/>
              </w:rPr>
              <w:t xml:space="preserve">Backgrounds, section panels.</w:t>
            </w:r>
          </w:p>
        </w:tc>
      </w:tr>
    </w:tbl>
    <w:p>
      <w:pPr>
        <w:pBdr>
          <w:bottom w:val="single" w:color="F3A73A" w:sz="6"/>
        </w:pBdr>
        <w:spacing w:after="200" w:before="100"/>
      </w:pPr>
      <w:r>
        <w:t xml:space="preserve"/>
      </w:r>
    </w:p>
    <w:p>
      <w:pPr>
        <w:spacing w:after="160"/>
      </w:pPr>
      <w:r>
        <w:rPr>
          <w:rFonts w:ascii="Arial" w:cs="Arial" w:eastAsia="Arial" w:hAnsi="Arial"/>
          <w:color w:val="1B2530"/>
          <w:sz w:val="21"/>
          <w:szCs w:val="21"/>
        </w:rPr>
        <w:t xml:space="preserve">Rule of thumb: navy carries the brand, amber earns its place by pointing at the one thing that matters on the page — a button, a rate, a phone number. Never use amber as a large background field; it reads as a warning label, not a brand color, at that scale.</w:t>
      </w:r>
    </w:p>
    <w:p>
      <w:pPr>
        <w:sectPr>
          <w:pgSz w:w="12240" w:h="15840" w:orient="portrait"/>
          <w:pgMar w:top="900" w:right="1000" w:bottom="900" w:left="1000" w:header="708" w:footer="708" w:gutter="0"/>
          <w:pgNumType/>
          <w:docGrid w:linePitch="360"/>
        </w:sectPr>
      </w:pPr>
    </w:p>
    <w:p>
      <w:pPr>
        <w:spacing w:after="60"/>
      </w:pPr>
      <w:r>
        <w:rPr>
          <w:rFonts w:ascii="Arial" w:cs="Arial" w:eastAsia="Arial" w:hAnsi="Arial"/>
          <w:b/>
          <w:bCs/>
          <w:color w:val="F3A73A"/>
          <w:spacing w:val="20"/>
          <w:sz w:val="18"/>
          <w:szCs w:val="18"/>
        </w:rPr>
        <w:t xml:space="preserve">04 — TYPOGRAPHY</w:t>
      </w:r>
    </w:p>
    <w:p>
      <w:pPr>
        <w:spacing w:after="200" w:before="200"/>
      </w:pPr>
      <w:r>
        <w:rPr>
          <w:rFonts w:ascii="Arial" w:cs="Arial" w:eastAsia="Arial" w:hAnsi="Arial"/>
          <w:b/>
          <w:bCs/>
          <w:color w:val="0E1F33"/>
          <w:sz w:val="40"/>
          <w:szCs w:val="40"/>
        </w:rPr>
        <w:t xml:space="preserve">Two Weights, One Job Each</w:t>
      </w:r>
    </w:p>
    <w:p>
      <w:pPr>
        <w:spacing w:after="60" w:before="200"/>
      </w:pPr>
      <w:r>
        <w:rPr>
          <w:rFonts w:ascii="Arial" w:cs="Arial" w:eastAsia="Arial" w:hAnsi="Arial"/>
          <w:b/>
          <w:bCs/>
          <w:color w:val="0E1F33"/>
          <w:spacing w:val="10"/>
          <w:sz w:val="56"/>
          <w:szCs w:val="56"/>
        </w:rPr>
        <w:t xml:space="preserve">HAULVERA</w:t>
      </w:r>
    </w:p>
    <w:p>
      <w:pPr>
        <w:spacing w:after="160"/>
      </w:pPr>
      <w:r>
        <w:rPr>
          <w:rFonts w:ascii="Arial" w:cs="Arial" w:eastAsia="Arial" w:hAnsi="Arial"/>
          <w:color w:val="1B2530"/>
          <w:sz w:val="21"/>
          <w:szCs w:val="21"/>
        </w:rPr>
        <w:t xml:space="preserve">Display / Wordmark — Arial Black or Archivo Black, all caps, tight tracking. Reserved for the logo and major headlines only — never for body copy.</w:t>
      </w:r>
    </w:p>
    <w:p>
      <w:pPr>
        <w:spacing w:after="60" w:before="300"/>
      </w:pPr>
      <w:r>
        <w:rPr>
          <w:rFonts w:ascii="Arial" w:cs="Arial" w:eastAsia="Arial" w:hAnsi="Arial"/>
          <w:b/>
          <w:bCs/>
          <w:color w:val="445468"/>
          <w:sz w:val="28"/>
          <w:szCs w:val="28"/>
        </w:rPr>
        <w:t xml:space="preserve">Move Smarter. Earn More.</w:t>
      </w:r>
    </w:p>
    <w:p>
      <w:pPr>
        <w:spacing w:after="160"/>
      </w:pPr>
      <w:r>
        <w:rPr>
          <w:rFonts w:ascii="Arial" w:cs="Arial" w:eastAsia="Arial" w:hAnsi="Arial"/>
          <w:color w:val="1B2530"/>
          <w:sz w:val="21"/>
          <w:szCs w:val="21"/>
        </w:rPr>
        <w:t xml:space="preserve">Headline / Subhead — Arial Bold or Barlow Semibold. Used for taglines, section headers, and callouts.</w:t>
      </w:r>
    </w:p>
    <w:p>
      <w:pPr>
        <w:spacing w:after="60" w:before="300"/>
      </w:pPr>
      <w:r>
        <w:rPr>
          <w:rFonts w:ascii="Arial" w:cs="Arial" w:eastAsia="Arial" w:hAnsi="Arial"/>
          <w:color w:val="1B2530"/>
          <w:sz w:val="22"/>
          <w:szCs w:val="22"/>
        </w:rPr>
        <w:t xml:space="preserve">Rate confirmations, load details, and driver settlements should read clearly at a glance.</w:t>
      </w:r>
    </w:p>
    <w:p>
      <w:pPr>
        <w:spacing w:after="160"/>
      </w:pPr>
      <w:r>
        <w:rPr>
          <w:rFonts w:ascii="Arial" w:cs="Arial" w:eastAsia="Arial" w:hAnsi="Arial"/>
          <w:color w:val="1B2530"/>
          <w:sz w:val="21"/>
          <w:szCs w:val="21"/>
        </w:rPr>
        <w:t xml:space="preserve">Body / UI — Arial Regular or Inter. Used for all running text: invoices, emails, the website, and app copy. Never set body text in the display face.</w:t>
      </w:r>
    </w:p>
    <w:p>
      <w:pPr>
        <w:sectPr>
          <w:pgSz w:w="12240" w:h="15840" w:orient="portrait"/>
          <w:pgMar w:top="900" w:right="1000" w:bottom="900" w:left="1000" w:header="708" w:footer="708" w:gutter="0"/>
          <w:pgNumType/>
          <w:docGrid w:linePitch="360"/>
        </w:sectPr>
      </w:pPr>
    </w:p>
    <w:p>
      <w:pPr>
        <w:spacing w:after="60"/>
      </w:pPr>
      <w:r>
        <w:rPr>
          <w:rFonts w:ascii="Arial" w:cs="Arial" w:eastAsia="Arial" w:hAnsi="Arial"/>
          <w:b/>
          <w:bCs/>
          <w:color w:val="F3A73A"/>
          <w:spacing w:val="20"/>
          <w:sz w:val="18"/>
          <w:szCs w:val="18"/>
        </w:rPr>
        <w:t xml:space="preserve">05 — APPLICATIONS</w:t>
      </w:r>
    </w:p>
    <w:p>
      <w:pPr>
        <w:spacing w:after="200" w:before="200"/>
      </w:pPr>
      <w:r>
        <w:rPr>
          <w:rFonts w:ascii="Arial" w:cs="Arial" w:eastAsia="Arial" w:hAnsi="Arial"/>
          <w:b/>
          <w:bCs/>
          <w:color w:val="0E1F33"/>
          <w:sz w:val="40"/>
          <w:szCs w:val="40"/>
        </w:rPr>
        <w:t xml:space="preserve">Where the Brand Shows Up</w:t>
      </w:r>
    </w:p>
    <w:p>
      <w:pPr>
        <w:spacing w:after="80" w:before="200"/>
      </w:pPr>
      <w:r>
        <w:rPr>
          <w:rFonts w:ascii="Arial" w:cs="Arial" w:eastAsia="Arial" w:hAnsi="Arial"/>
          <w:b/>
          <w:bCs/>
          <w:color w:val="0E1F33"/>
          <w:sz w:val="22"/>
          <w:szCs w:val="22"/>
        </w:rPr>
        <w:t xml:space="preserve">Truck door / trailer decal</w:t>
      </w:r>
    </w:p>
    <w:p>
      <w:pPr>
        <w:pStyle w:val="ListParagraph"/>
        <w:numPr>
          <w:ilvl w:val="0"/>
          <w:numId w:val="1"/>
        </w:numPr>
        <w:spacing w:after="80"/>
      </w:pPr>
      <w:r>
        <w:rPr>
          <w:rFonts w:ascii="Arial" w:cs="Arial" w:eastAsia="Arial" w:hAnsi="Arial"/>
          <w:color w:val="1B2530"/>
          <w:sz w:val="21"/>
          <w:szCs w:val="21"/>
        </w:rPr>
        <w:t xml:space="preserve">Reversed lockup centered on the door, badge only on the trailer rear if space is tight.</w:t>
      </w:r>
    </w:p>
    <w:p>
      <w:pPr>
        <w:pStyle w:val="ListParagraph"/>
        <w:numPr>
          <w:ilvl w:val="0"/>
          <w:numId w:val="1"/>
        </w:numPr>
        <w:spacing w:after="80"/>
      </w:pPr>
      <w:r>
        <w:rPr>
          <w:rFonts w:ascii="Arial" w:cs="Arial" w:eastAsia="Arial" w:hAnsi="Arial"/>
          <w:color w:val="1B2530"/>
          <w:sz w:val="21"/>
          <w:szCs w:val="21"/>
        </w:rPr>
        <w:t xml:space="preserve">Add MC# and DOT# beneath the tagline in Steel, small caps, per FMCSA marking requirements.</w:t>
      </w:r>
    </w:p>
    <w:p>
      <w:pPr>
        <w:spacing w:after="80" w:before="240"/>
      </w:pPr>
      <w:r>
        <w:rPr>
          <w:rFonts w:ascii="Arial" w:cs="Arial" w:eastAsia="Arial" w:hAnsi="Arial"/>
          <w:b/>
          <w:bCs/>
          <w:color w:val="0E1F33"/>
          <w:sz w:val="22"/>
          <w:szCs w:val="22"/>
        </w:rPr>
        <w:t xml:space="preserve">Business card</w:t>
      </w:r>
    </w:p>
    <w:p>
      <w:pPr>
        <w:pStyle w:val="ListParagraph"/>
        <w:numPr>
          <w:ilvl w:val="0"/>
          <w:numId w:val="1"/>
        </w:numPr>
        <w:spacing w:after="80"/>
      </w:pPr>
      <w:r>
        <w:rPr>
          <w:rFonts w:ascii="Arial" w:cs="Arial" w:eastAsia="Arial" w:hAnsi="Arial"/>
          <w:color w:val="1B2530"/>
          <w:sz w:val="21"/>
          <w:szCs w:val="21"/>
        </w:rPr>
        <w:t xml:space="preserve">Front: icon badge centered on Concrete background.</w:t>
      </w:r>
    </w:p>
    <w:p>
      <w:pPr>
        <w:pStyle w:val="ListParagraph"/>
        <w:numPr>
          <w:ilvl w:val="0"/>
          <w:numId w:val="1"/>
        </w:numPr>
        <w:spacing w:after="80"/>
      </w:pPr>
      <w:r>
        <w:rPr>
          <w:rFonts w:ascii="Arial" w:cs="Arial" w:eastAsia="Arial" w:hAnsi="Arial"/>
          <w:color w:val="1B2530"/>
          <w:sz w:val="21"/>
          <w:szCs w:val="21"/>
        </w:rPr>
        <w:t xml:space="preserve">Back: primary lockup, name/title in Steel, phone and MC# in Ink Navy, Amber rule dividing contact block from dispatch line.</w:t>
      </w:r>
    </w:p>
    <w:p>
      <w:pPr>
        <w:spacing w:after="80" w:before="240"/>
      </w:pPr>
      <w:r>
        <w:rPr>
          <w:rFonts w:ascii="Arial" w:cs="Arial" w:eastAsia="Arial" w:hAnsi="Arial"/>
          <w:b/>
          <w:bCs/>
          <w:color w:val="0E1F33"/>
          <w:sz w:val="22"/>
          <w:szCs w:val="22"/>
        </w:rPr>
        <w:t xml:space="preserve">Invoice &amp; rate confirmation header</w:t>
      </w:r>
    </w:p>
    <w:p>
      <w:pPr>
        <w:pStyle w:val="ListParagraph"/>
        <w:numPr>
          <w:ilvl w:val="0"/>
          <w:numId w:val="1"/>
        </w:numPr>
        <w:spacing w:after="80"/>
      </w:pPr>
      <w:r>
        <w:rPr>
          <w:rFonts w:ascii="Arial" w:cs="Arial" w:eastAsia="Arial" w:hAnsi="Arial"/>
          <w:color w:val="1B2530"/>
          <w:sz w:val="21"/>
          <w:szCs w:val="21"/>
        </w:rPr>
        <w:t xml:space="preserve">Primary lockup top-left, document title (“RATE CONFIRMATION” / “INVOICE”) top-right in Steel small caps.</w:t>
      </w:r>
    </w:p>
    <w:p>
      <w:pPr>
        <w:pStyle w:val="ListParagraph"/>
        <w:numPr>
          <w:ilvl w:val="0"/>
          <w:numId w:val="1"/>
        </w:numPr>
        <w:spacing w:after="80"/>
      </w:pPr>
      <w:r>
        <w:rPr>
          <w:rFonts w:ascii="Arial" w:cs="Arial" w:eastAsia="Arial" w:hAnsi="Arial"/>
          <w:color w:val="1B2530"/>
          <w:sz w:val="21"/>
          <w:szCs w:val="21"/>
        </w:rPr>
        <w:t xml:space="preserve">Amber rule under the header block; all totals in Ink Navy bold.</w:t>
      </w:r>
    </w:p>
    <w:p>
      <w:pPr>
        <w:spacing w:after="80" w:before="240"/>
      </w:pPr>
      <w:r>
        <w:rPr>
          <w:rFonts w:ascii="Arial" w:cs="Arial" w:eastAsia="Arial" w:hAnsi="Arial"/>
          <w:b/>
          <w:bCs/>
          <w:color w:val="0E1F33"/>
          <w:sz w:val="22"/>
          <w:szCs w:val="22"/>
        </w:rPr>
        <w:t xml:space="preserve">Social &amp; load-board profile</w:t>
      </w:r>
    </w:p>
    <w:p>
      <w:pPr>
        <w:pStyle w:val="ListParagraph"/>
        <w:numPr>
          <w:ilvl w:val="0"/>
          <w:numId w:val="1"/>
        </w:numPr>
        <w:spacing w:after="80"/>
      </w:pPr>
      <w:r>
        <w:rPr>
          <w:rFonts w:ascii="Arial" w:cs="Arial" w:eastAsia="Arial" w:hAnsi="Arial"/>
          <w:color w:val="1B2530"/>
          <w:sz w:val="21"/>
          <w:szCs w:val="21"/>
        </w:rPr>
        <w:t xml:space="preserve">Icon badge as the profile photo (reads clearly at small sizes).</w:t>
      </w:r>
    </w:p>
    <w:p>
      <w:pPr>
        <w:pStyle w:val="ListParagraph"/>
        <w:numPr>
          <w:ilvl w:val="0"/>
          <w:numId w:val="1"/>
        </w:numPr>
        <w:spacing w:after="80"/>
      </w:pPr>
      <w:r>
        <w:rPr>
          <w:rFonts w:ascii="Arial" w:cs="Arial" w:eastAsia="Arial" w:hAnsi="Arial"/>
          <w:color w:val="1B2530"/>
          <w:sz w:val="21"/>
          <w:szCs w:val="21"/>
        </w:rPr>
        <w:t xml:space="preserve">Primary lockup as the cover/banner image on a Concrete or Navy field.</w:t>
      </w:r>
    </w:p>
    <w:p>
      <w:pPr>
        <w:pBdr>
          <w:bottom w:val="single" w:color="F3A73A" w:sz="6"/>
        </w:pBdr>
        <w:spacing w:after="200" w:before="100"/>
      </w:pPr>
      <w:r>
        <w:t xml:space="preserve"/>
      </w:r>
    </w:p>
    <w:p>
      <w:pPr>
        <w:spacing w:after="160"/>
      </w:pPr>
      <w:r>
        <w:rPr>
          <w:rFonts w:ascii="Arial" w:cs="Arial" w:eastAsia="Arial" w:hAnsi="Arial"/>
          <w:i/>
          <w:iCs/>
          <w:color w:val="7A8794"/>
          <w:sz w:val="21"/>
          <w:szCs w:val="21"/>
        </w:rPr>
        <w:t xml:space="preserve">Every touchpoint should carry either the full lockup or the icon — never the wordmark without the badge, and never the badge recolored outside this palette. Consistency across the truck, the paperwork, and the load board is what makes Haulvera recognizable to repeat brokers and dispatchers.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cfd79e74e46e73c33d4bbb62301ae542692a64.png"/><Relationship Id="rId8" Type="http://schemas.openxmlformats.org/officeDocument/2006/relationships/image" Target="media/acbb14db54c3411d4e5f11b5cf0008865d282ad6.png"/><Relationship Id="rId9" Type="http://schemas.openxmlformats.org/officeDocument/2006/relationships/image" Target="media/74a32cb00d41c2d8e23a473d5e09fa8372cde0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2026-08-12T20:46:22.905Z</dcterms:created>
  <dcterms:modified xsi:type="dcterms:W3CDTF">2026-08-12T20:46:22.905Z</dcterms:modified>
</cp:coreProperties>
</file>

<file path=docProps/custom.xml><?xml version="1.0" encoding="utf-8"?>
<Properties xmlns="http://schemas.openxmlformats.org/officeDocument/2006/custom-properties" xmlns:vt="http://schemas.openxmlformats.org/officeDocument/2006/docPropsVTypes"/>
</file>