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62" w:rsidRDefault="001D3362" w:rsidP="001D3362">
      <w:pPr>
        <w:ind w:left="2160" w:firstLine="720"/>
      </w:pPr>
      <w:r>
        <w:rPr>
          <w:noProof/>
        </w:rPr>
        <w:drawing>
          <wp:inline distT="0" distB="0" distL="0" distR="0">
            <wp:extent cx="3781425" cy="1257300"/>
            <wp:effectExtent l="0" t="0" r="9525" b="0"/>
            <wp:docPr id="1" name="Picture 1" descr="Med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n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40" w:rsidRDefault="00B40440" w:rsidP="00B40440">
      <w:pPr>
        <w:pStyle w:val="Heading1"/>
      </w:pPr>
      <w:r>
        <w:t xml:space="preserve">MEDIN Change Log </w:t>
      </w:r>
      <w:r w:rsidR="00AD4BCB">
        <w:t>26</w:t>
      </w:r>
      <w:r>
        <w:t xml:space="preserve"> </w:t>
      </w:r>
      <w:r w:rsidR="00AD4BCB">
        <w:t>October</w:t>
      </w:r>
      <w:r>
        <w:t xml:space="preserve"> 2021</w:t>
      </w:r>
    </w:p>
    <w:p w:rsidR="00746E65" w:rsidRDefault="00B40440">
      <w:r>
        <w:t>This document is a log of c</w:t>
      </w:r>
      <w:r w:rsidR="00A866B2">
        <w:t xml:space="preserve">hanges </w:t>
      </w:r>
      <w:r>
        <w:t xml:space="preserve">that have been implemented while incrementing the </w:t>
      </w:r>
      <w:r w:rsidR="00A866B2">
        <w:t xml:space="preserve">MEDIN Discovery </w:t>
      </w:r>
      <w:r>
        <w:t xml:space="preserve">Metadata </w:t>
      </w:r>
      <w:r w:rsidR="00A866B2">
        <w:t>Standard</w:t>
      </w:r>
      <w:r>
        <w:t xml:space="preserve"> Guidance </w:t>
      </w:r>
      <w:r w:rsidR="00C12D86">
        <w:t>N</w:t>
      </w:r>
      <w:r>
        <w:t xml:space="preserve">otes from v3.1 to v3.1.1. The changes were necessary to account for updates to GEMINI 2.3, and to </w:t>
      </w:r>
      <w:r w:rsidR="00507AC5">
        <w:t>remove</w:t>
      </w:r>
      <w:r>
        <w:t xml:space="preserve"> ambiguity that the MEDIN Standards Working Group felt was present in some elements in the Guidance Notes. </w:t>
      </w:r>
    </w:p>
    <w:p w:rsidR="00B40440" w:rsidRDefault="00B40440">
      <w:r>
        <w:t xml:space="preserve">The full list of changes is as follows. These are ordered approximately in the location they appear in the Guidance </w:t>
      </w:r>
      <w:r w:rsidR="00507AC5">
        <w:t>N</w:t>
      </w:r>
      <w:r>
        <w:t xml:space="preserve">otes document. </w:t>
      </w:r>
    </w:p>
    <w:p w:rsidR="00242314" w:rsidRDefault="00242314" w:rsidP="00A866B2">
      <w:pPr>
        <w:pStyle w:val="ListParagraph"/>
        <w:numPr>
          <w:ilvl w:val="0"/>
          <w:numId w:val="1"/>
        </w:numPr>
      </w:pPr>
      <w:r>
        <w:t xml:space="preserve">Amended ‘Example XML fragment’ section of </w:t>
      </w:r>
      <w:r w:rsidR="00507AC5">
        <w:t>‘</w:t>
      </w:r>
      <w:r w:rsidR="006E0432">
        <w:t>4. Filling in an element</w:t>
      </w:r>
      <w:r w:rsidR="00507AC5">
        <w:t>’</w:t>
      </w:r>
      <w:r w:rsidR="006E0432">
        <w:t xml:space="preserve"> to indicate </w:t>
      </w:r>
      <w:r w:rsidR="00507AC5">
        <w:t>where</w:t>
      </w:r>
      <w:r w:rsidR="006E0432">
        <w:t xml:space="preserve"> Annex B now </w:t>
      </w:r>
      <w:r w:rsidR="00507AC5">
        <w:t xml:space="preserve">points to the </w:t>
      </w:r>
      <w:r w:rsidR="006E0432">
        <w:t xml:space="preserve">location of full XML record examples. </w:t>
      </w:r>
    </w:p>
    <w:p w:rsidR="00A866B2" w:rsidRPr="008072AB" w:rsidRDefault="00183A35" w:rsidP="00A866B2">
      <w:pPr>
        <w:pStyle w:val="ListParagraph"/>
        <w:numPr>
          <w:ilvl w:val="0"/>
          <w:numId w:val="1"/>
        </w:numPr>
      </w:pPr>
      <w:r w:rsidRPr="008072AB">
        <w:t xml:space="preserve">Element 6 </w:t>
      </w:r>
      <w:r w:rsidR="00A866B2" w:rsidRPr="008072AB">
        <w:t>Unique Resource Identifier</w:t>
      </w:r>
      <w:r w:rsidRPr="008072AB">
        <w:t>:</w:t>
      </w:r>
      <w:r w:rsidR="00A866B2" w:rsidRPr="008072AB">
        <w:t xml:space="preserve"> sub element </w:t>
      </w:r>
      <w:proofErr w:type="spellStart"/>
      <w:r w:rsidR="00A866B2" w:rsidRPr="008072AB">
        <w:t>codespace</w:t>
      </w:r>
      <w:proofErr w:type="spellEnd"/>
      <w:r w:rsidR="00A866B2" w:rsidRPr="008072AB">
        <w:t xml:space="preserve"> </w:t>
      </w:r>
      <w:r w:rsidR="0038080E" w:rsidRPr="008072AB">
        <w:t>requirement level</w:t>
      </w:r>
      <w:r w:rsidR="00A866B2" w:rsidRPr="008072AB">
        <w:t xml:space="preserve"> change</w:t>
      </w:r>
      <w:r w:rsidR="002316DB">
        <w:t>d</w:t>
      </w:r>
      <w:r w:rsidR="00A866B2" w:rsidRPr="008072AB">
        <w:t xml:space="preserve"> </w:t>
      </w:r>
      <w:r w:rsidR="0038080E" w:rsidRPr="008072AB">
        <w:t xml:space="preserve">from optional </w:t>
      </w:r>
      <w:r w:rsidR="00A866B2" w:rsidRPr="008072AB">
        <w:t>to conditional</w:t>
      </w:r>
      <w:r w:rsidR="002316DB">
        <w:t>.</w:t>
      </w:r>
      <w:r w:rsidR="00A866B2" w:rsidRPr="008072AB">
        <w:t xml:space="preserve"> </w:t>
      </w:r>
      <w:r w:rsidR="002316DB">
        <w:t>A</w:t>
      </w:r>
      <w:r w:rsidR="00A866B2" w:rsidRPr="008072AB">
        <w:t>dd</w:t>
      </w:r>
      <w:r w:rsidR="002316DB">
        <w:t>ed</w:t>
      </w:r>
      <w:r w:rsidR="00A866B2" w:rsidRPr="008072AB">
        <w:t xml:space="preserve"> text ‘Shall be populated if the code sub-element does not by itself uniquely identify the resource”</w:t>
      </w:r>
    </w:p>
    <w:p w:rsidR="00183A35" w:rsidRPr="008072AB" w:rsidRDefault="00183A35" w:rsidP="00183A35">
      <w:pPr>
        <w:pStyle w:val="ListParagraph"/>
        <w:numPr>
          <w:ilvl w:val="0"/>
          <w:numId w:val="1"/>
        </w:numPr>
      </w:pPr>
      <w:r w:rsidRPr="008072AB">
        <w:t xml:space="preserve">For sub-elements </w:t>
      </w:r>
      <w:r w:rsidR="00305FEB" w:rsidRPr="008072AB">
        <w:t>11.2</w:t>
      </w:r>
      <w:r w:rsidRPr="008072AB">
        <w:t>, 13.2 and within Element 15, c</w:t>
      </w:r>
      <w:r w:rsidR="00305FEB" w:rsidRPr="008072AB">
        <w:t>hange</w:t>
      </w:r>
      <w:r w:rsidRPr="008072AB">
        <w:t>d</w:t>
      </w:r>
      <w:r w:rsidR="0009707C" w:rsidRPr="008072AB">
        <w:t xml:space="preserve"> occurrence levels for sub-sub elements to single per vocabulary</w:t>
      </w:r>
      <w:r w:rsidR="00507AC5">
        <w:t>/date/date type (as appropriate)</w:t>
      </w:r>
      <w:r w:rsidR="0009707C" w:rsidRPr="008072AB">
        <w:t>.</w:t>
      </w:r>
    </w:p>
    <w:p w:rsidR="00183A35" w:rsidRPr="008072AB" w:rsidRDefault="00183A35" w:rsidP="00DA1AB7">
      <w:pPr>
        <w:pStyle w:val="ListParagraph"/>
        <w:numPr>
          <w:ilvl w:val="0"/>
          <w:numId w:val="1"/>
        </w:numPr>
      </w:pPr>
      <w:r w:rsidRPr="008072AB">
        <w:t xml:space="preserve">Throughout Guidance </w:t>
      </w:r>
      <w:r w:rsidR="00507AC5">
        <w:t>Notes</w:t>
      </w:r>
      <w:r w:rsidRPr="008072AB">
        <w:t>, c</w:t>
      </w:r>
      <w:r w:rsidR="004D740F" w:rsidRPr="008072AB">
        <w:t>hange</w:t>
      </w:r>
      <w:r w:rsidRPr="008072AB">
        <w:t>d</w:t>
      </w:r>
      <w:r w:rsidR="004D740F" w:rsidRPr="008072AB">
        <w:t xml:space="preserve"> references to EPSG registry so they use the </w:t>
      </w:r>
      <w:r w:rsidRPr="008072AB">
        <w:t xml:space="preserve">new </w:t>
      </w:r>
      <w:r w:rsidR="004D740F" w:rsidRPr="008072AB">
        <w:t>URL</w:t>
      </w:r>
      <w:r w:rsidR="00D2452B" w:rsidRPr="008072AB">
        <w:t xml:space="preserve"> </w:t>
      </w:r>
      <w:hyperlink r:id="rId6" w:history="1">
        <w:r w:rsidRPr="008072AB">
          <w:rPr>
            <w:rStyle w:val="Hyperlink"/>
            <w:color w:val="auto"/>
          </w:rPr>
          <w:t>https://epsg.org/home.html</w:t>
        </w:r>
      </w:hyperlink>
    </w:p>
    <w:p w:rsidR="004D740F" w:rsidRPr="008072AB" w:rsidRDefault="00183A35" w:rsidP="00DA1AB7">
      <w:pPr>
        <w:pStyle w:val="ListParagraph"/>
        <w:numPr>
          <w:ilvl w:val="0"/>
          <w:numId w:val="1"/>
        </w:numPr>
      </w:pPr>
      <w:r w:rsidRPr="008072AB">
        <w:t>Where relevant in Guidan</w:t>
      </w:r>
      <w:r w:rsidR="008072AB" w:rsidRPr="008072AB">
        <w:t>c</w:t>
      </w:r>
      <w:r w:rsidRPr="008072AB">
        <w:t xml:space="preserve">e </w:t>
      </w:r>
      <w:r w:rsidR="00507AC5">
        <w:t>Notes</w:t>
      </w:r>
      <w:r w:rsidRPr="008072AB">
        <w:t xml:space="preserve">, </w:t>
      </w:r>
      <w:r w:rsidR="00D2452B" w:rsidRPr="008072AB">
        <w:t xml:space="preserve">updated guidance on use of EPSG registry to account for change in EPSG website. </w:t>
      </w:r>
    </w:p>
    <w:p w:rsidR="003E7960" w:rsidRDefault="003B14D0" w:rsidP="00DA1AB7">
      <w:pPr>
        <w:pStyle w:val="ListParagraph"/>
        <w:numPr>
          <w:ilvl w:val="0"/>
          <w:numId w:val="1"/>
        </w:numPr>
      </w:pPr>
      <w:r w:rsidRPr="008072AB">
        <w:t xml:space="preserve">Spatial reference system </w:t>
      </w:r>
      <w:r w:rsidR="003E7960">
        <w:t xml:space="preserve">element 15.1 </w:t>
      </w:r>
      <w:r w:rsidR="00887812" w:rsidRPr="008072AB">
        <w:t xml:space="preserve">text </w:t>
      </w:r>
      <w:r w:rsidR="003E7960">
        <w:t xml:space="preserve">altered </w:t>
      </w:r>
      <w:r w:rsidR="00887812" w:rsidRPr="008072AB">
        <w:t>to clarify that code must be a fully resolvable URI, a</w:t>
      </w:r>
      <w:r w:rsidR="00850CC7">
        <w:t xml:space="preserve">nd added note that EPSG codes are available as URIs. </w:t>
      </w:r>
    </w:p>
    <w:p w:rsidR="003B14D0" w:rsidRPr="008072AB" w:rsidRDefault="003E7960" w:rsidP="00DA1AB7">
      <w:pPr>
        <w:pStyle w:val="ListParagraph"/>
        <w:numPr>
          <w:ilvl w:val="0"/>
          <w:numId w:val="1"/>
        </w:numPr>
      </w:pPr>
      <w:r>
        <w:t xml:space="preserve">Spatial </w:t>
      </w:r>
      <w:r w:rsidR="002316DB">
        <w:t>reference</w:t>
      </w:r>
      <w:r>
        <w:t xml:space="preserve"> system element 15.2 altered to clarify </w:t>
      </w:r>
      <w:r w:rsidR="00887812" w:rsidRPr="008072AB">
        <w:t xml:space="preserve">that controlled vocab citation optional sub-element is used to provide added information on the source of the code. </w:t>
      </w:r>
      <w:r w:rsidR="00D2452B" w:rsidRPr="008072AB">
        <w:t xml:space="preserve">Slight adjustments to XML examples to reflect this minor change. </w:t>
      </w:r>
    </w:p>
    <w:p w:rsidR="00686286" w:rsidRDefault="00822C22" w:rsidP="0038080E">
      <w:pPr>
        <w:pStyle w:val="ListParagraph"/>
        <w:numPr>
          <w:ilvl w:val="0"/>
          <w:numId w:val="1"/>
        </w:numPr>
      </w:pPr>
      <w:r w:rsidRPr="008072AB">
        <w:t xml:space="preserve">Lineage text now includes a statement that explains that MEDIN handle the GEMINI </w:t>
      </w:r>
      <w:r w:rsidR="002F31C0" w:rsidRPr="008072AB">
        <w:t xml:space="preserve">Quality Scope </w:t>
      </w:r>
      <w:r w:rsidRPr="008072AB">
        <w:t xml:space="preserve">element by encoding it within the XML for Lineage. </w:t>
      </w:r>
    </w:p>
    <w:p w:rsidR="00F45474" w:rsidRPr="008072AB" w:rsidRDefault="00F45474" w:rsidP="0038080E">
      <w:pPr>
        <w:pStyle w:val="ListParagraph"/>
        <w:numPr>
          <w:ilvl w:val="0"/>
          <w:numId w:val="1"/>
        </w:numPr>
      </w:pPr>
      <w:r>
        <w:t xml:space="preserve">Lineage XML examples now include one for quality scope encoding for services, to demonstrate how Quality Scope is handled within lineage encoding. </w:t>
      </w:r>
    </w:p>
    <w:p w:rsidR="0038080E" w:rsidRPr="008072AB" w:rsidRDefault="006F1E43" w:rsidP="00AF74E1">
      <w:pPr>
        <w:pStyle w:val="ListParagraph"/>
        <w:numPr>
          <w:ilvl w:val="0"/>
          <w:numId w:val="1"/>
        </w:numPr>
      </w:pPr>
      <w:r w:rsidRPr="008072AB">
        <w:t xml:space="preserve">Element 18 Spatial resolution guidance clarified so that Equivalent Scale should only be populated if it is not possible to use </w:t>
      </w:r>
      <w:r w:rsidR="008C5707" w:rsidRPr="008072AB">
        <w:t xml:space="preserve">Distance. </w:t>
      </w:r>
      <w:r w:rsidR="0038080E" w:rsidRPr="008072AB">
        <w:t xml:space="preserve">Also added in guidance that </w:t>
      </w:r>
      <w:r w:rsidR="00822C22" w:rsidRPr="008072AB">
        <w:t xml:space="preserve">only one of Distance or Equivalent scale should be used. </w:t>
      </w:r>
    </w:p>
    <w:p w:rsidR="00AF74E1" w:rsidRPr="008072AB" w:rsidRDefault="00AF74E1" w:rsidP="00AF74E1">
      <w:pPr>
        <w:pStyle w:val="ListParagraph"/>
        <w:numPr>
          <w:ilvl w:val="0"/>
          <w:numId w:val="1"/>
        </w:numPr>
      </w:pPr>
      <w:r w:rsidRPr="008072AB">
        <w:t>Element 18.1 - remove</w:t>
      </w:r>
      <w:r w:rsidR="002316DB">
        <w:t>d</w:t>
      </w:r>
      <w:r w:rsidRPr="008072AB">
        <w:t xml:space="preserve"> ‘not applicable’ from text and replace</w:t>
      </w:r>
      <w:r w:rsidR="002316DB">
        <w:t>d</w:t>
      </w:r>
      <w:r w:rsidRPr="008072AB">
        <w:t xml:space="preserve"> with ‘inapplicable’. This </w:t>
      </w:r>
      <w:r w:rsidR="002316DB">
        <w:t xml:space="preserve">resulted </w:t>
      </w:r>
      <w:r w:rsidRPr="008072AB">
        <w:t xml:space="preserve">from a query from UKHO who pointed out an inconsistency between XML and free text. GEMINI Working Group clarified that ‘inapplicable’ is the term that should be used. </w:t>
      </w:r>
    </w:p>
    <w:p w:rsidR="003A4E70" w:rsidRDefault="003A4E70" w:rsidP="00822C22">
      <w:pPr>
        <w:pStyle w:val="ListParagraph"/>
        <w:numPr>
          <w:ilvl w:val="0"/>
          <w:numId w:val="1"/>
        </w:numPr>
      </w:pPr>
      <w:r>
        <w:t xml:space="preserve">Element 18 XML example – removed distance example that uses ISO </w:t>
      </w:r>
      <w:proofErr w:type="spellStart"/>
      <w:r>
        <w:t>codelist</w:t>
      </w:r>
      <w:proofErr w:type="spellEnd"/>
      <w:r>
        <w:t xml:space="preserve"> for metres, as this is not compliant with GEMINI 2.3. </w:t>
      </w:r>
      <w:bookmarkStart w:id="0" w:name="_GoBack"/>
      <w:bookmarkEnd w:id="0"/>
    </w:p>
    <w:p w:rsidR="00822C22" w:rsidRPr="008072AB" w:rsidRDefault="00822C22" w:rsidP="00822C22">
      <w:pPr>
        <w:pStyle w:val="ListParagraph"/>
        <w:numPr>
          <w:ilvl w:val="0"/>
          <w:numId w:val="1"/>
        </w:numPr>
      </w:pPr>
      <w:r w:rsidRPr="008072AB">
        <w:t xml:space="preserve">Limitations on Public Access defined as single occurrence only, but text states that multiple access constraints are allowed, so this </w:t>
      </w:r>
      <w:r w:rsidR="002316DB">
        <w:t>has been</w:t>
      </w:r>
      <w:r w:rsidRPr="008072AB">
        <w:t xml:space="preserve"> re-worded. </w:t>
      </w:r>
      <w:r w:rsidR="002316DB">
        <w:t xml:space="preserve">Clarification made </w:t>
      </w:r>
      <w:r w:rsidRPr="008072AB">
        <w:t xml:space="preserve">because there </w:t>
      </w:r>
      <w:r w:rsidRPr="008072AB">
        <w:lastRenderedPageBreak/>
        <w:t xml:space="preserve">is only one </w:t>
      </w:r>
      <w:proofErr w:type="spellStart"/>
      <w:r w:rsidRPr="008072AB">
        <w:t>MD_LegalConstraints</w:t>
      </w:r>
      <w:proofErr w:type="spellEnd"/>
      <w:r w:rsidRPr="008072AB">
        <w:t xml:space="preserve"> element allowed for limitations, but it can hold multiple </w:t>
      </w:r>
      <w:proofErr w:type="spellStart"/>
      <w:r w:rsidRPr="008072AB">
        <w:t>otherConstraints</w:t>
      </w:r>
      <w:proofErr w:type="spellEnd"/>
      <w:r w:rsidR="002316DB">
        <w:t xml:space="preserve">. </w:t>
      </w:r>
      <w:r w:rsidRPr="008072AB">
        <w:t xml:space="preserve"> </w:t>
      </w:r>
      <w:r w:rsidR="002316DB">
        <w:t xml:space="preserve">It was </w:t>
      </w:r>
      <w:r w:rsidRPr="008072AB">
        <w:t xml:space="preserve">not clear in </w:t>
      </w:r>
      <w:r w:rsidR="002316DB">
        <w:t xml:space="preserve">the </w:t>
      </w:r>
      <w:r w:rsidRPr="008072AB">
        <w:t xml:space="preserve">standard so </w:t>
      </w:r>
      <w:r w:rsidR="002316DB">
        <w:t xml:space="preserve">has been </w:t>
      </w:r>
      <w:r w:rsidRPr="008072AB">
        <w:t>defin</w:t>
      </w:r>
      <w:r w:rsidR="002316DB">
        <w:t>ed more clearly</w:t>
      </w:r>
      <w:r w:rsidRPr="008072AB">
        <w:t>.</w:t>
      </w:r>
    </w:p>
    <w:p w:rsidR="00381E8F" w:rsidRDefault="00381E8F" w:rsidP="00D15986">
      <w:pPr>
        <w:pStyle w:val="ListParagraph"/>
        <w:numPr>
          <w:ilvl w:val="0"/>
          <w:numId w:val="1"/>
        </w:numPr>
      </w:pPr>
      <w:r>
        <w:t xml:space="preserve">In Element 22, sub-sub-element 22.0.2 has been re-worded to provide flexibility of submission of responsible party information that may not be in EDMO, or is not possible to load into EDMO. </w:t>
      </w:r>
    </w:p>
    <w:p w:rsidR="00D15986" w:rsidRPr="00F45474" w:rsidRDefault="00D15986" w:rsidP="00D15986">
      <w:pPr>
        <w:pStyle w:val="ListParagraph"/>
        <w:numPr>
          <w:ilvl w:val="0"/>
          <w:numId w:val="1"/>
        </w:numPr>
      </w:pPr>
      <w:r w:rsidRPr="00F45474">
        <w:t xml:space="preserve">In Element 23 -Data format (C), text </w:t>
      </w:r>
      <w:r w:rsidR="002316DB">
        <w:t xml:space="preserve">changed </w:t>
      </w:r>
      <w:r w:rsidRPr="00F45474">
        <w:t xml:space="preserve">to ‘Indicate the formats in which digital data can be provided for transfer’. Clarified in sub-elements that this is about resource transfer formats. </w:t>
      </w:r>
    </w:p>
    <w:p w:rsidR="00307264" w:rsidRPr="00E72EE4" w:rsidRDefault="00307264" w:rsidP="00D15986">
      <w:pPr>
        <w:pStyle w:val="ListParagraph"/>
        <w:numPr>
          <w:ilvl w:val="0"/>
          <w:numId w:val="1"/>
        </w:numPr>
      </w:pPr>
      <w:r>
        <w:t xml:space="preserve">In Element 23 – Data format, have altered the </w:t>
      </w:r>
      <w:r w:rsidR="00651EF2">
        <w:t>second</w:t>
      </w:r>
      <w:r>
        <w:t xml:space="preserve"> XML encoding example so it shows two different data formats. This done to clarify how &lt;</w:t>
      </w:r>
      <w:proofErr w:type="spellStart"/>
      <w:r>
        <w:t>gmd:distributionFormat</w:t>
      </w:r>
      <w:proofErr w:type="spellEnd"/>
      <w:r>
        <w:t xml:space="preserve">&gt; tag needs to be handled when encoding multiple data formats. </w:t>
      </w:r>
    </w:p>
    <w:p w:rsidR="00381E8F" w:rsidRDefault="00381E8F" w:rsidP="00D15986">
      <w:pPr>
        <w:pStyle w:val="ListParagraph"/>
        <w:numPr>
          <w:ilvl w:val="0"/>
          <w:numId w:val="1"/>
        </w:numPr>
      </w:pPr>
      <w:r>
        <w:t>Conformity paragraph altered to make clear that INSPIRE Regulation 1089/2010 must have a conformance statement against it, tightening the requirement from what was previously stated which was that a conformity statement was required against any INSPIRE specification.</w:t>
      </w:r>
    </w:p>
    <w:p w:rsidR="00E72EE4" w:rsidRDefault="00E72EE4" w:rsidP="00D15986">
      <w:pPr>
        <w:pStyle w:val="ListParagraph"/>
        <w:numPr>
          <w:ilvl w:val="0"/>
          <w:numId w:val="1"/>
        </w:numPr>
      </w:pPr>
      <w:r>
        <w:t xml:space="preserve">Conformity sub-element 25.1.2. Line of text added to make explicit that publication date is mandatory for INSPIRE conformity statements. </w:t>
      </w:r>
    </w:p>
    <w:p w:rsidR="00381E8F" w:rsidRDefault="00381E8F" w:rsidP="00D15986">
      <w:pPr>
        <w:pStyle w:val="ListParagraph"/>
        <w:numPr>
          <w:ilvl w:val="0"/>
          <w:numId w:val="1"/>
        </w:numPr>
      </w:pPr>
      <w:r>
        <w:t>Conformity XML examples re-ordered so that XML showing conformance statement against 1089/2010 moved to first XML example.</w:t>
      </w:r>
    </w:p>
    <w:p w:rsidR="00FA730B" w:rsidRDefault="00FA730B" w:rsidP="00D15986">
      <w:pPr>
        <w:pStyle w:val="ListParagraph"/>
        <w:numPr>
          <w:ilvl w:val="0"/>
          <w:numId w:val="1"/>
        </w:numPr>
      </w:pPr>
      <w:r>
        <w:t xml:space="preserve">All hyperlinks to Annexes in MEDIN Standard have had any bold text removed. </w:t>
      </w:r>
    </w:p>
    <w:p w:rsidR="00403FFD" w:rsidRPr="008072AB" w:rsidRDefault="00403FFD" w:rsidP="00D15986">
      <w:pPr>
        <w:pStyle w:val="ListParagraph"/>
        <w:numPr>
          <w:ilvl w:val="0"/>
          <w:numId w:val="1"/>
        </w:numPr>
      </w:pPr>
      <w:r>
        <w:t xml:space="preserve">Annex B in Guidance document now provides MEDIN GitHub as location for example XML files. </w:t>
      </w:r>
    </w:p>
    <w:p w:rsidR="00AF74E1" w:rsidRDefault="00AF74E1" w:rsidP="00AF74E1"/>
    <w:sectPr w:rsidR="00AF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3DC"/>
    <w:multiLevelType w:val="hybridMultilevel"/>
    <w:tmpl w:val="83A4C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B2"/>
    <w:rsid w:val="00043935"/>
    <w:rsid w:val="00064388"/>
    <w:rsid w:val="0009707C"/>
    <w:rsid w:val="00183A35"/>
    <w:rsid w:val="001D3362"/>
    <w:rsid w:val="001E7F33"/>
    <w:rsid w:val="002316DB"/>
    <w:rsid w:val="00242314"/>
    <w:rsid w:val="002F31C0"/>
    <w:rsid w:val="00305FEB"/>
    <w:rsid w:val="00307264"/>
    <w:rsid w:val="0038080E"/>
    <w:rsid w:val="00381E8F"/>
    <w:rsid w:val="003A4E70"/>
    <w:rsid w:val="003B14D0"/>
    <w:rsid w:val="003E7960"/>
    <w:rsid w:val="00403FFD"/>
    <w:rsid w:val="00442B33"/>
    <w:rsid w:val="004D740F"/>
    <w:rsid w:val="0050039B"/>
    <w:rsid w:val="00507AC5"/>
    <w:rsid w:val="00526C62"/>
    <w:rsid w:val="005337E5"/>
    <w:rsid w:val="00573FBD"/>
    <w:rsid w:val="00605EE6"/>
    <w:rsid w:val="00651EF2"/>
    <w:rsid w:val="00686286"/>
    <w:rsid w:val="006E0432"/>
    <w:rsid w:val="006F1E43"/>
    <w:rsid w:val="00746E65"/>
    <w:rsid w:val="008072AB"/>
    <w:rsid w:val="00814F53"/>
    <w:rsid w:val="00822C22"/>
    <w:rsid w:val="00850CC7"/>
    <w:rsid w:val="00887812"/>
    <w:rsid w:val="008A08BC"/>
    <w:rsid w:val="008B309B"/>
    <w:rsid w:val="008C5707"/>
    <w:rsid w:val="009D77CB"/>
    <w:rsid w:val="00A866B2"/>
    <w:rsid w:val="00AD4BCB"/>
    <w:rsid w:val="00AF74E1"/>
    <w:rsid w:val="00B40440"/>
    <w:rsid w:val="00C12D86"/>
    <w:rsid w:val="00D15986"/>
    <w:rsid w:val="00D2452B"/>
    <w:rsid w:val="00D61956"/>
    <w:rsid w:val="00DA1AB7"/>
    <w:rsid w:val="00E72EE4"/>
    <w:rsid w:val="00EE1979"/>
    <w:rsid w:val="00F45474"/>
    <w:rsid w:val="00F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260"/>
  <w15:chartTrackingRefBased/>
  <w15:docId w15:val="{6D2BB693-6C5D-43AC-A5BF-5A02A6E9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A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sg.org/hom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Sean P.</dc:creator>
  <cp:keywords/>
  <dc:description/>
  <cp:lastModifiedBy>Gaffney, Sean P.</cp:lastModifiedBy>
  <cp:revision>3</cp:revision>
  <dcterms:created xsi:type="dcterms:W3CDTF">2021-10-27T09:44:00Z</dcterms:created>
  <dcterms:modified xsi:type="dcterms:W3CDTF">2021-10-27T10:54:00Z</dcterms:modified>
</cp:coreProperties>
</file>