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240"/>
      </w:pPr>
      <w:r>
        <w:rPr>
          <w:rFonts w:ascii="Times New Roman" w:hAnsi="Times New Roman"/>
          <w:b/>
          <w:sz w:val="32"/>
        </w:rPr>
        <w:t>Method Statement - SC021 &amp; SC038 - Cleanroom &amp; Modular Room Assembly Activities - Rev C1</w:t>
      </w:r>
    </w:p>
    <w:p>
      <w:pPr>
        <w:keepNext/>
        <w:spacing w:before="160" w:after="80"/>
      </w:pPr>
      <w:r>
        <w:rPr>
          <w:rFonts w:ascii="Times New Roman" w:hAnsi="Times New Roman"/>
          <w:b/>
          <w:sz w:val="26"/>
        </w:rPr>
        <w:t>1. Project Details</w:t>
      </w:r>
    </w:p>
    <w:p>
      <w:pPr>
        <w:pStyle w:val="ListParagraph"/>
        <w:numPr>
          <w:ilvl w:val="0"/>
          <w:numId w:val="20"/>
        </w:numPr>
        <w:spacing w:after="0"/>
      </w:pPr>
      <w:r>
        <w:rPr>
          <w:rFonts w:ascii="Times New Roman" w:hAnsi="Times New Roman"/>
          <w:b/>
          <w:sz w:val="22"/>
        </w:rPr>
        <w:t xml:space="preserve">Project Name: </w:t>
      </w:r>
      <w:r>
        <w:rPr>
          <w:rFonts w:ascii="Times New Roman" w:hAnsi="Times New Roman"/>
          <w:b w:val="0"/>
          <w:sz w:val="22"/>
        </w:rPr>
        <w:t>Sumitomo Cable Factory Installation</w:t>
      </w:r>
    </w:p>
    <w:p>
      <w:pPr>
        <w:pStyle w:val="ListParagraph"/>
        <w:numPr>
          <w:ilvl w:val="0"/>
          <w:numId w:val="20"/>
        </w:numPr>
        <w:spacing w:after="0"/>
      </w:pPr>
      <w:r>
        <w:rPr>
          <w:rFonts w:ascii="Times New Roman" w:hAnsi="Times New Roman"/>
          <w:b/>
          <w:sz w:val="22"/>
        </w:rPr>
        <w:t xml:space="preserve">Location: </w:t>
      </w:r>
      <w:r>
        <w:rPr>
          <w:rFonts w:ascii="Times New Roman" w:hAnsi="Times New Roman"/>
          <w:b w:val="0"/>
          <w:sz w:val="22"/>
        </w:rPr>
        <w:t>Nigg, Scotland</w:t>
      </w:r>
    </w:p>
    <w:p>
      <w:pPr>
        <w:pStyle w:val="ListParagraph"/>
        <w:numPr>
          <w:ilvl w:val="0"/>
          <w:numId w:val="20"/>
        </w:numPr>
        <w:spacing w:after="0"/>
      </w:pPr>
      <w:r>
        <w:rPr>
          <w:rFonts w:ascii="Times New Roman" w:hAnsi="Times New Roman"/>
          <w:b/>
          <w:sz w:val="22"/>
        </w:rPr>
        <w:t xml:space="preserve">Main Contractor: </w:t>
      </w:r>
      <w:r>
        <w:rPr>
          <w:rFonts w:ascii="Times New Roman" w:hAnsi="Times New Roman"/>
          <w:b w:val="0"/>
          <w:sz w:val="22"/>
        </w:rPr>
        <w:t>Europlan</w:t>
      </w:r>
    </w:p>
    <w:p>
      <w:pPr>
        <w:pStyle w:val="ListParagraph"/>
        <w:numPr>
          <w:ilvl w:val="0"/>
          <w:numId w:val="20"/>
        </w:numPr>
        <w:spacing w:after="0"/>
      </w:pPr>
      <w:r>
        <w:rPr>
          <w:rFonts w:ascii="Times New Roman" w:hAnsi="Times New Roman"/>
          <w:b/>
          <w:sz w:val="22"/>
        </w:rPr>
        <w:t xml:space="preserve">Assembly Works: </w:t>
      </w:r>
      <w:r>
        <w:rPr>
          <w:rFonts w:ascii="Times New Roman" w:hAnsi="Times New Roman"/>
          <w:b w:val="0"/>
          <w:sz w:val="22"/>
        </w:rPr>
        <w:t>Europlan</w:t>
      </w:r>
    </w:p>
    <w:p>
      <w:pPr>
        <w:pStyle w:val="ListParagraph"/>
        <w:numPr>
          <w:ilvl w:val="0"/>
          <w:numId w:val="20"/>
        </w:numPr>
        <w:spacing w:after="0"/>
      </w:pPr>
      <w:r>
        <w:rPr>
          <w:rFonts w:ascii="Times New Roman" w:hAnsi="Times New Roman"/>
          <w:b/>
          <w:sz w:val="22"/>
        </w:rPr>
        <w:t xml:space="preserve">Document: </w:t>
      </w:r>
      <w:r>
        <w:rPr>
          <w:rFonts w:ascii="Times New Roman" w:hAnsi="Times New Roman"/>
          <w:b w:val="0"/>
          <w:sz w:val="22"/>
        </w:rPr>
        <w:t>MS-001 Rev C1</w:t>
      </w:r>
    </w:p>
    <w:p>
      <w:pPr>
        <w:pStyle w:val="ListParagraph"/>
        <w:numPr>
          <w:ilvl w:val="0"/>
          <w:numId w:val="20"/>
        </w:numPr>
        <w:spacing w:after="0"/>
      </w:pPr>
      <w:r>
        <w:rPr>
          <w:rFonts w:ascii="Times New Roman" w:hAnsi="Times New Roman"/>
          <w:b/>
          <w:sz w:val="22"/>
        </w:rPr>
        <w:t xml:space="preserve">Status: </w:t>
      </w:r>
      <w:r>
        <w:rPr>
          <w:rFonts w:ascii="Times New Roman" w:hAnsi="Times New Roman"/>
          <w:b w:val="0"/>
          <w:sz w:val="22"/>
        </w:rPr>
        <w:t>Draft for coordinated review - NOT APPROVED FOR CONSTRUCTION</w:t>
      </w:r>
    </w:p>
    <w:p>
      <w:pPr>
        <w:pStyle w:val="ListParagraph"/>
        <w:numPr>
          <w:ilvl w:val="0"/>
          <w:numId w:val="20"/>
        </w:numPr>
        <w:spacing w:after="0"/>
      </w:pPr>
      <w:r>
        <w:rPr>
          <w:rFonts w:ascii="Times New Roman" w:hAnsi="Times New Roman"/>
          <w:b/>
          <w:sz w:val="22"/>
        </w:rPr>
        <w:t xml:space="preserve">Prepared by: </w:t>
      </w:r>
      <w:r>
        <w:rPr>
          <w:rFonts w:ascii="Times New Roman" w:hAnsi="Times New Roman"/>
          <w:b w:val="0"/>
          <w:sz w:val="22"/>
          <w:highlight w:val="yellow"/>
        </w:rPr>
        <w:t>TO BE COMPLETED</w:t>
      </w:r>
    </w:p>
    <w:p>
      <w:pPr>
        <w:pStyle w:val="ListParagraph"/>
        <w:numPr>
          <w:ilvl w:val="0"/>
          <w:numId w:val="20"/>
        </w:numPr>
        <w:spacing w:after="0"/>
      </w:pPr>
      <w:r>
        <w:rPr>
          <w:rFonts w:ascii="Times New Roman" w:hAnsi="Times New Roman"/>
          <w:b/>
          <w:sz w:val="22"/>
        </w:rPr>
        <w:t xml:space="preserve">Issue Date: </w:t>
      </w:r>
      <w:r>
        <w:rPr>
          <w:rFonts w:ascii="Times New Roman" w:hAnsi="Times New Roman"/>
          <w:b w:val="0"/>
          <w:sz w:val="22"/>
        </w:rPr>
        <w:t>04/08/2026</w:t>
      </w:r>
    </w:p>
    <w:p>
      <w:pPr>
        <w:spacing w:before="100" w:after="140"/>
      </w:pPr>
      <w:r>
        <w:rPr>
          <w:rFonts w:ascii="Times New Roman" w:hAnsi="Times New Roman"/>
          <w:b/>
          <w:sz w:val="21"/>
          <w:highlight w:val="yellow"/>
        </w:rPr>
        <w:t>TO BE COMPLETED</w:t>
      </w:r>
      <w:r>
        <w:rPr>
          <w:rFonts w:ascii="Times New Roman" w:hAnsi="Times New Roman"/>
          <w:b/>
          <w:sz w:val="21"/>
        </w:rPr>
        <w:t>: preparer, checker, approver, named duty holders, approved drawing set and acceptance signatures.</w:t>
      </w:r>
    </w:p>
    <w:p>
      <w:pPr>
        <w:spacing w:after="200"/>
        <w:pBdr>
          <w:bottom w:val="single" w:sz="12" w:space="6" w:color="A6A6A6"/>
        </w:pBdr>
      </w:pPr>
    </w:p>
    <w:p>
      <w:pPr>
        <w:keepNext/>
        <w:spacing w:before="160" w:after="80"/>
      </w:pPr>
      <w:r>
        <w:rPr>
          <w:rFonts w:ascii="Times New Roman" w:hAnsi="Times New Roman"/>
          <w:b/>
          <w:sz w:val="26"/>
        </w:rPr>
        <w:t>1. Purpose</w:t>
      </w:r>
    </w:p>
    <w:p>
      <w:pPr>
        <w:spacing w:after="100"/>
      </w:pPr>
      <w:r>
        <w:rPr>
          <w:rFonts w:ascii="Times New Roman" w:hAnsi="Times New Roman"/>
          <w:b w:val="0"/>
          <w:sz w:val="22"/>
        </w:rPr>
        <w:t>Define Europlan's safe sequence for installing SC021 cleanrooms and SC038 modular rooms after accepted materials are available at the workface.</w:t>
      </w:r>
    </w:p>
    <w:p>
      <w:pPr>
        <w:spacing w:after="200"/>
        <w:pBdr>
          <w:bottom w:val="single" w:sz="12" w:space="6" w:color="A6A6A6"/>
        </w:pBdr>
      </w:pPr>
    </w:p>
    <w:p>
      <w:pPr>
        <w:keepNext/>
        <w:spacing w:before="160" w:after="80"/>
      </w:pPr>
      <w:r>
        <w:rPr>
          <w:rFonts w:ascii="Times New Roman" w:hAnsi="Times New Roman"/>
          <w:b/>
          <w:sz w:val="26"/>
        </w:rPr>
        <w:t>2. Scope and exclusions</w:t>
      </w:r>
    </w:p>
    <w:p>
      <w:pPr>
        <w:spacing w:after="100"/>
      </w:pPr>
      <w:r>
        <w:rPr>
          <w:rFonts w:ascii="Times New Roman" w:hAnsi="Times New Roman"/>
          <w:b w:val="0"/>
          <w:sz w:val="22"/>
        </w:rPr>
        <w:t>Included where shown by current approved information: setting out; base frames; columns; rockwool wall panels; doors, windows and openings; edge beams; ceiling grids and panels; trusses; FFUs; AHU/duct/light interfaces; flooring; and vendor pre-wired interconnections under isolation.</w:t>
      </w:r>
    </w:p>
    <w:p>
      <w:pPr>
        <w:spacing w:after="100"/>
      </w:pPr>
      <w:r>
        <w:rPr>
          <w:rFonts w:ascii="Times New Roman" w:hAnsi="Times New Roman"/>
          <w:b w:val="0"/>
          <w:sz w:val="22"/>
        </w:rPr>
        <w:t>Delivery, offloading, and transport to the workface are by others under separate RAMS. Commissioning and energisation are excluded unless separately instructed and supported by approved documents.</w:t>
      </w:r>
    </w:p>
    <w:p>
      <w:pPr>
        <w:spacing w:after="200"/>
        <w:pBdr>
          <w:bottom w:val="single" w:sz="12" w:space="6" w:color="A6A6A6"/>
        </w:pBdr>
      </w:pPr>
    </w:p>
    <w:p>
      <w:pPr>
        <w:keepNext/>
        <w:spacing w:before="160" w:after="80"/>
      </w:pPr>
      <w:r>
        <w:rPr>
          <w:rFonts w:ascii="Times New Roman" w:hAnsi="Times New Roman"/>
          <w:b/>
          <w:sz w:val="26"/>
        </w:rPr>
        <w:t>3. Applicable information</w:t>
      </w:r>
    </w:p>
    <w:p>
      <w:pPr>
        <w:spacing w:after="100"/>
      </w:pPr>
      <w:r>
        <w:rPr>
          <w:rFonts w:ascii="Times New Roman" w:hAnsi="Times New Roman"/>
          <w:b w:val="0"/>
          <w:sz w:val="22"/>
        </w:rPr>
        <w:t>Read this method with RA-001, HPR-001, the ITP/QCP, project HSE arrangements, approved drawings, manufacturer instructions, temporary-works designs, permits, COSHH assessments, lift plans where equipment is used, and current POWRA.</w:t>
      </w:r>
    </w:p>
    <w:p>
      <w:pPr>
        <w:spacing w:after="100"/>
      </w:pPr>
      <w:r>
        <w:rPr>
          <w:rFonts w:ascii="Times New Roman" w:hAnsi="Times New Roman"/>
          <w:b w:val="0"/>
          <w:sz w:val="22"/>
        </w:rPr>
        <w:t>The supplied S4 layouts and vendor packs are source information, not automatic construction approval. DRG-001 must identify the current accepted issue before setting out.</w:t>
      </w:r>
    </w:p>
    <w:p>
      <w:pPr>
        <w:spacing w:after="200"/>
        <w:pBdr>
          <w:bottom w:val="single" w:sz="12" w:space="6" w:color="A6A6A6"/>
        </w:pBdr>
      </w:pPr>
    </w:p>
    <w:p>
      <w:pPr>
        <w:keepNext/>
        <w:spacing w:before="160" w:after="80"/>
      </w:pPr>
      <w:r>
        <w:rPr>
          <w:rFonts w:ascii="Times New Roman" w:hAnsi="Times New Roman"/>
          <w:b/>
          <w:sz w:val="26"/>
        </w:rPr>
        <w:t>4. Roles and authority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3010"/>
        <w:gridCol w:w="3010"/>
        <w:gridCol w:w="3010"/>
      </w:tblGrid>
      <w:tr>
        <w:trPr>
          <w:tblHeader w:val="true"/>
        </w:trPr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5F2"/>
          </w:tcPr>
          <w:p>
            <w:r>
              <w:rPr>
                <w:b/>
              </w:rPr>
            </w:r>
            <w:r>
              <w:rPr>
                <w:rFonts w:ascii="Times New Roman" w:hAnsi="Times New Roman"/>
                <w:b/>
                <w:sz w:val="19"/>
              </w:rPr>
              <w:t>Role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5F2"/>
          </w:tcPr>
          <w:p>
            <w:r>
              <w:rPr>
                <w:b/>
              </w:rPr>
            </w:r>
            <w:r>
              <w:rPr>
                <w:rFonts w:ascii="Times New Roman" w:hAnsi="Times New Roman"/>
                <w:b/>
                <w:sz w:val="19"/>
              </w:rPr>
              <w:t>Minimum responsibility</w:t>
            </w:r>
          </w:p>
        </w:tc>
        <w:tc>
          <w:tcPr>
            <w:tcW w:type="dxa" w:w="26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5F2"/>
          </w:tcPr>
          <w:p>
            <w:r>
              <w:rPr>
                <w:b/>
              </w:rPr>
            </w:r>
            <w:r>
              <w:rPr>
                <w:rFonts w:ascii="Times New Roman" w:hAnsi="Times New Roman"/>
                <w:b/>
                <w:sz w:val="19"/>
              </w:rPr>
              <w:t>Named person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Project Manager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Resources, coordination, approved information</w:t>
            </w:r>
          </w:p>
        </w:tc>
        <w:tc>
          <w:tcPr>
            <w:tcW w:type="dxa" w:w="26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9"/>
                <w:highlight w:val="yellow"/>
              </w:rPr>
              <w:t>TO BE COMPLETED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Site Supervisor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Briefing, sequencing, permits, stop/restart control</w:t>
            </w:r>
          </w:p>
        </w:tc>
        <w:tc>
          <w:tcPr>
            <w:tcW w:type="dxa" w:w="26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9"/>
                <w:highlight w:val="yellow"/>
              </w:rPr>
              <w:t>TO BE COMPLETED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H&amp;S Adviser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RAMS assurance and monitoring</w:t>
            </w:r>
          </w:p>
        </w:tc>
        <w:tc>
          <w:tcPr>
            <w:tcW w:type="dxa" w:w="26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9"/>
                <w:highlight w:val="yellow"/>
              </w:rPr>
              <w:t>TO BE COMPLETED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TWC/TWS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Temporary Stability System control</w:t>
            </w:r>
          </w:p>
        </w:tc>
        <w:tc>
          <w:tcPr>
            <w:tcW w:type="dxa" w:w="26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9"/>
                <w:highlight w:val="yellow"/>
              </w:rPr>
              <w:t>TO BE COMPLETED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Lifting AP/Supervisor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Lift planning/control when applicable</w:t>
            </w:r>
          </w:p>
        </w:tc>
        <w:tc>
          <w:tcPr>
            <w:tcW w:type="dxa" w:w="26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9"/>
                <w:highlight w:val="yellow"/>
              </w:rPr>
              <w:t>TO BE COMPLETED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Electrical competent person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Isolation, proving dead, inspection/testing boundary</w:t>
            </w:r>
          </w:p>
        </w:tc>
        <w:tc>
          <w:tcPr>
            <w:tcW w:type="dxa" w:w="26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9"/>
                <w:highlight w:val="yellow"/>
              </w:rPr>
              <w:t>TO BE COMPLETED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QA/QC inspector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ITP evidence, NCR and handover</w:t>
            </w:r>
          </w:p>
        </w:tc>
        <w:tc>
          <w:tcPr>
            <w:tcW w:type="dxa" w:w="26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9"/>
                <w:highlight w:val="yellow"/>
              </w:rPr>
              <w:t>TO BE COMPLETED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Operatives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Follow briefing, inspect equipment, stop unsafe work</w:t>
            </w:r>
          </w:p>
        </w:tc>
        <w:tc>
          <w:tcPr>
            <w:tcW w:type="dxa" w:w="26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See TRN-001</w:t>
            </w:r>
          </w:p>
        </w:tc>
      </w:tr>
    </w:tbl>
    <w:p>
      <w:pPr>
        <w:spacing w:after="40"/>
      </w:pPr>
    </w:p>
    <w:p>
      <w:pPr>
        <w:spacing w:after="200"/>
        <w:pBdr>
          <w:bottom w:val="single" w:sz="12" w:space="6" w:color="A6A6A6"/>
        </w:pBdr>
      </w:pPr>
    </w:p>
    <w:p>
      <w:pPr>
        <w:keepNext/>
        <w:spacing w:before="160" w:after="80"/>
      </w:pPr>
      <w:r>
        <w:rPr>
          <w:rFonts w:ascii="Times New Roman" w:hAnsi="Times New Roman"/>
          <w:b/>
          <w:sz w:val="26"/>
        </w:rPr>
        <w:t>5. Pre-start requirements</w:t>
      </w:r>
    </w:p>
    <w:p>
      <w:pPr>
        <w:pStyle w:val="ListParagraph"/>
        <w:numPr>
          <w:ilvl w:val="0"/>
          <w:numId w:val="21"/>
        </w:numPr>
        <w:spacing w:after="40"/>
      </w:pPr>
      <w:r>
        <w:rPr>
          <w:rFonts w:ascii="Times New Roman" w:hAnsi="Times New Roman"/>
          <w:b w:val="0"/>
          <w:sz w:val="22"/>
        </w:rPr>
        <w:t>Confirm induction, competence, task briefing, permits, emergency arrangements, and daily FRM-001 POWRA.</w:t>
      </w:r>
    </w:p>
    <w:p>
      <w:pPr>
        <w:pStyle w:val="ListParagraph"/>
        <w:numPr>
          <w:ilvl w:val="0"/>
          <w:numId w:val="21"/>
        </w:numPr>
        <w:spacing w:after="40"/>
      </w:pPr>
      <w:r>
        <w:rPr>
          <w:rFonts w:ascii="Times New Roman" w:hAnsi="Times New Roman"/>
          <w:b w:val="0"/>
          <w:sz w:val="22"/>
        </w:rPr>
        <w:t>Verify the room ID, approved drawing/production number, grid position, dimensions, sequence, and interfaces against DRG-001.</w:t>
      </w:r>
    </w:p>
    <w:p>
      <w:pPr>
        <w:pStyle w:val="ListParagraph"/>
        <w:numPr>
          <w:ilvl w:val="0"/>
          <w:numId w:val="21"/>
        </w:numPr>
        <w:spacing w:after="40"/>
      </w:pPr>
      <w:r>
        <w:rPr>
          <w:rFonts w:ascii="Times New Roman" w:hAnsi="Times New Roman"/>
          <w:b w:val="0"/>
          <w:sz w:val="22"/>
        </w:rPr>
        <w:t>Accept the workface and received materials using FRM-002; quarantine damage or unidentified items.</w:t>
      </w:r>
    </w:p>
    <w:p>
      <w:pPr>
        <w:pStyle w:val="ListParagraph"/>
        <w:numPr>
          <w:ilvl w:val="0"/>
          <w:numId w:val="21"/>
        </w:numPr>
        <w:spacing w:after="40"/>
      </w:pPr>
      <w:r>
        <w:rPr>
          <w:rFonts w:ascii="Times New Roman" w:hAnsi="Times New Roman"/>
          <w:b w:val="0"/>
          <w:sz w:val="22"/>
        </w:rPr>
        <w:t>Verify component weights/handling methods in CMP-001 and plant status in PLT-001.</w:t>
      </w:r>
    </w:p>
    <w:p>
      <w:pPr>
        <w:pStyle w:val="ListParagraph"/>
        <w:numPr>
          <w:ilvl w:val="0"/>
          <w:numId w:val="21"/>
        </w:numPr>
        <w:spacing w:after="40"/>
      </w:pPr>
      <w:r>
        <w:rPr>
          <w:rFonts w:ascii="Times New Roman" w:hAnsi="Times New Roman"/>
          <w:b w:val="0"/>
          <w:sz w:val="22"/>
        </w:rPr>
        <w:t>Confirm approved Temporary Stability System drawings, restraint points, inspections, and removal criteria.</w:t>
      </w:r>
    </w:p>
    <w:p>
      <w:pPr>
        <w:pStyle w:val="ListParagraph"/>
        <w:numPr>
          <w:ilvl w:val="0"/>
          <w:numId w:val="21"/>
        </w:numPr>
        <w:spacing w:after="40"/>
      </w:pPr>
      <w:r>
        <w:rPr>
          <w:rFonts w:ascii="Times New Roman" w:hAnsi="Times New Roman"/>
          <w:b w:val="0"/>
          <w:sz w:val="22"/>
        </w:rPr>
        <w:t>Coordinate SIMOPS, access, exclusion zones, laydown, escape routes, lighting, and housekeeping.</w:t>
      </w:r>
    </w:p>
    <w:p>
      <w:pPr>
        <w:pStyle w:val="ListParagraph"/>
        <w:numPr>
          <w:ilvl w:val="0"/>
          <w:numId w:val="21"/>
        </w:numPr>
        <w:spacing w:after="40"/>
      </w:pPr>
      <w:r>
        <w:rPr>
          <w:rFonts w:ascii="Times New Roman" w:hAnsi="Times New Roman"/>
          <w:b w:val="0"/>
          <w:sz w:val="22"/>
        </w:rPr>
        <w:t>Release HP-01 and HP-02 before installation.</w:t>
      </w:r>
    </w:p>
    <w:p>
      <w:pPr>
        <w:spacing w:after="200"/>
        <w:pBdr>
          <w:bottom w:val="single" w:sz="12" w:space="6" w:color="A6A6A6"/>
        </w:pBdr>
      </w:pPr>
    </w:p>
    <w:p>
      <w:pPr>
        <w:keepNext/>
        <w:spacing w:before="160" w:after="80"/>
      </w:pPr>
      <w:r>
        <w:rPr>
          <w:rFonts w:ascii="Times New Roman" w:hAnsi="Times New Roman"/>
          <w:b/>
          <w:sz w:val="26"/>
        </w:rPr>
        <w:t>6. Installation sequence</w:t>
      </w:r>
    </w:p>
    <w:p>
      <w:pPr>
        <w:keepNext/>
        <w:spacing w:before="100" w:after="80"/>
      </w:pPr>
      <w:r>
        <w:rPr>
          <w:rFonts w:ascii="Times New Roman" w:hAnsi="Times New Roman"/>
          <w:b/>
          <w:sz w:val="23"/>
        </w:rPr>
        <w:t>6.1 Setting out and base frames</w:t>
      </w:r>
    </w:p>
    <w:p>
      <w:pPr>
        <w:pStyle w:val="ListParagraph"/>
        <w:numPr>
          <w:ilvl w:val="0"/>
          <w:numId w:val="20"/>
        </w:numPr>
        <w:spacing w:after="40"/>
      </w:pPr>
      <w:r>
        <w:rPr>
          <w:rFonts w:ascii="Times New Roman" w:hAnsi="Times New Roman"/>
          <w:b w:val="0"/>
          <w:sz w:val="22"/>
        </w:rPr>
        <w:t>Establish survey control and mark the approved room footprint.</w:t>
      </w:r>
    </w:p>
    <w:p>
      <w:pPr>
        <w:pStyle w:val="ListParagraph"/>
        <w:numPr>
          <w:ilvl w:val="0"/>
          <w:numId w:val="20"/>
        </w:numPr>
        <w:spacing w:after="40"/>
      </w:pPr>
      <w:r>
        <w:rPr>
          <w:rFonts w:ascii="Times New Roman" w:hAnsi="Times New Roman"/>
          <w:b w:val="0"/>
          <w:sz w:val="22"/>
        </w:rPr>
        <w:t>Check substrate, services, level, line, openings, interfaces, and fixing suitability.</w:t>
      </w:r>
    </w:p>
    <w:p>
      <w:pPr>
        <w:pStyle w:val="ListParagraph"/>
        <w:numPr>
          <w:ilvl w:val="0"/>
          <w:numId w:val="20"/>
        </w:numPr>
        <w:spacing w:after="40"/>
      </w:pPr>
      <w:r>
        <w:rPr>
          <w:rFonts w:ascii="Times New Roman" w:hAnsi="Times New Roman"/>
          <w:b w:val="0"/>
          <w:sz w:val="22"/>
        </w:rPr>
        <w:t>Assemble, level, join, and fix base frames to the approved drawing and manufacturer detail.</w:t>
      </w:r>
    </w:p>
    <w:p>
      <w:pPr>
        <w:pStyle w:val="ListParagraph"/>
        <w:numPr>
          <w:ilvl w:val="0"/>
          <w:numId w:val="20"/>
        </w:numPr>
        <w:spacing w:after="40"/>
      </w:pPr>
      <w:r>
        <w:rPr>
          <w:rFonts w:ascii="Times New Roman" w:hAnsi="Times New Roman"/>
          <w:b w:val="0"/>
          <w:sz w:val="22"/>
        </w:rPr>
        <w:t>Record tolerances and release HP-03 before erecting panels.</w:t>
      </w:r>
    </w:p>
    <w:p>
      <w:pPr>
        <w:keepNext/>
        <w:spacing w:before="100" w:after="80"/>
      </w:pPr>
      <w:r>
        <w:rPr>
          <w:rFonts w:ascii="Times New Roman" w:hAnsi="Times New Roman"/>
          <w:b/>
          <w:sz w:val="23"/>
        </w:rPr>
        <w:t>6.2 Columns and wall panels</w:t>
      </w:r>
    </w:p>
    <w:p>
      <w:pPr>
        <w:pStyle w:val="ListParagraph"/>
        <w:numPr>
          <w:ilvl w:val="0"/>
          <w:numId w:val="20"/>
        </w:numPr>
        <w:spacing w:after="40"/>
      </w:pPr>
      <w:r>
        <w:rPr>
          <w:rFonts w:ascii="Times New Roman" w:hAnsi="Times New Roman"/>
          <w:b w:val="0"/>
          <w:sz w:val="22"/>
        </w:rPr>
        <w:t>Confirm each panel's label, thickness, fire/core classification, height, orientation, and verified handling method.</w:t>
      </w:r>
    </w:p>
    <w:p>
      <w:pPr>
        <w:pStyle w:val="ListParagraph"/>
        <w:numPr>
          <w:ilvl w:val="0"/>
          <w:numId w:val="20"/>
        </w:numPr>
        <w:spacing w:after="40"/>
      </w:pPr>
      <w:r>
        <w:rPr>
          <w:rFonts w:ascii="Times New Roman" w:hAnsi="Times New Roman"/>
          <w:b w:val="0"/>
          <w:sz w:val="22"/>
        </w:rPr>
        <w:t>F1/FF drawings show both 50 mm panels and 75 mm fire panels; use the room-specific approved schedule.</w:t>
      </w:r>
    </w:p>
    <w:p>
      <w:pPr>
        <w:pStyle w:val="ListParagraph"/>
        <w:numPr>
          <w:ilvl w:val="0"/>
          <w:numId w:val="20"/>
        </w:numPr>
        <w:spacing w:after="40"/>
      </w:pPr>
      <w:r>
        <w:rPr>
          <w:rFonts w:ascii="Times New Roman" w:hAnsi="Times New Roman"/>
          <w:b w:val="0"/>
          <w:sz w:val="22"/>
        </w:rPr>
        <w:t>Inspect routes, suction grip aids, crew coordination, access equipment, and restraint before lifting.</w:t>
      </w:r>
    </w:p>
    <w:p>
      <w:pPr>
        <w:pStyle w:val="ListParagraph"/>
        <w:numPr>
          <w:ilvl w:val="0"/>
          <w:numId w:val="20"/>
        </w:numPr>
        <w:spacing w:after="40"/>
      </w:pPr>
      <w:r>
        <w:rPr>
          <w:rFonts w:ascii="Times New Roman" w:hAnsi="Times New Roman"/>
          <w:b w:val="0"/>
          <w:sz w:val="22"/>
        </w:rPr>
        <w:t>Nominate one coordinator. Lift only on the agreed command and keep hands clear of pinch/crush zones.</w:t>
      </w:r>
    </w:p>
    <w:p>
      <w:pPr>
        <w:pStyle w:val="ListParagraph"/>
        <w:numPr>
          <w:ilvl w:val="0"/>
          <w:numId w:val="20"/>
        </w:numPr>
        <w:spacing w:after="40"/>
      </w:pPr>
      <w:r>
        <w:rPr>
          <w:rFonts w:ascii="Times New Roman" w:hAnsi="Times New Roman"/>
          <w:b w:val="0"/>
          <w:sz w:val="22"/>
        </w:rPr>
        <w:t>Install progressively and connect the Temporary Stability System before releasing any panel.</w:t>
      </w:r>
    </w:p>
    <w:p>
      <w:pPr>
        <w:pStyle w:val="ListParagraph"/>
        <w:numPr>
          <w:ilvl w:val="0"/>
          <w:numId w:val="20"/>
        </w:numPr>
        <w:spacing w:after="40"/>
      </w:pPr>
      <w:r>
        <w:rPr>
          <w:rFonts w:ascii="Times New Roman" w:hAnsi="Times New Roman"/>
          <w:b w:val="0"/>
          <w:sz w:val="22"/>
        </w:rPr>
        <w:t>Do not leave a partially erected wall unsupported.</w:t>
      </w:r>
    </w:p>
    <w:p>
      <w:pPr>
        <w:pStyle w:val="ListParagraph"/>
        <w:numPr>
          <w:ilvl w:val="0"/>
          <w:numId w:val="20"/>
        </w:numPr>
        <w:spacing w:after="40"/>
      </w:pPr>
      <w:r>
        <w:rPr>
          <w:rFonts w:ascii="Times New Roman" w:hAnsi="Times New Roman"/>
          <w:b w:val="0"/>
          <w:sz w:val="22"/>
        </w:rPr>
        <w:t>For stacked walls, stabilise and inspect the lower tier before the upper tier. Confirm the actual horizontal joint from the approved drawing; do not assume one 7.5 m manually handled panel.</w:t>
      </w:r>
    </w:p>
    <w:p>
      <w:pPr>
        <w:keepNext/>
        <w:spacing w:before="100" w:after="80"/>
      </w:pPr>
      <w:r>
        <w:rPr>
          <w:rFonts w:ascii="Times New Roman" w:hAnsi="Times New Roman"/>
          <w:b/>
          <w:sz w:val="23"/>
        </w:rPr>
        <w:t>6.3 Doors, windows, openings and edge beams</w:t>
      </w:r>
    </w:p>
    <w:p>
      <w:pPr>
        <w:pStyle w:val="ListParagraph"/>
        <w:numPr>
          <w:ilvl w:val="0"/>
          <w:numId w:val="20"/>
        </w:numPr>
        <w:spacing w:after="40"/>
      </w:pPr>
      <w:r>
        <w:rPr>
          <w:rFonts w:ascii="Times New Roman" w:hAnsi="Times New Roman"/>
          <w:b w:val="0"/>
          <w:sz w:val="22"/>
        </w:rPr>
        <w:t>Confirm opening dimensions, handing, hardware, fire/emergency function, interface seals, and support.</w:t>
      </w:r>
    </w:p>
    <w:p>
      <w:pPr>
        <w:pStyle w:val="ListParagraph"/>
        <w:numPr>
          <w:ilvl w:val="0"/>
          <w:numId w:val="20"/>
        </w:numPr>
        <w:spacing w:after="40"/>
      </w:pPr>
      <w:r>
        <w:rPr>
          <w:rFonts w:ascii="Times New Roman" w:hAnsi="Times New Roman"/>
          <w:b w:val="0"/>
          <w:sz w:val="22"/>
        </w:rPr>
        <w:t>Protect finishes and do not force misaligned components.</w:t>
      </w:r>
    </w:p>
    <w:p>
      <w:pPr>
        <w:pStyle w:val="ListParagraph"/>
        <w:numPr>
          <w:ilvl w:val="0"/>
          <w:numId w:val="20"/>
        </w:numPr>
        <w:spacing w:after="40"/>
      </w:pPr>
      <w:r>
        <w:rPr>
          <w:rFonts w:ascii="Times New Roman" w:hAnsi="Times New Roman"/>
          <w:b w:val="0"/>
          <w:sz w:val="22"/>
        </w:rPr>
        <w:t>Record damage, deviation, or field modification through NCR/change control.</w:t>
      </w:r>
    </w:p>
    <w:p>
      <w:pPr>
        <w:keepNext/>
        <w:spacing w:before="100" w:after="80"/>
      </w:pPr>
      <w:r>
        <w:rPr>
          <w:rFonts w:ascii="Times New Roman" w:hAnsi="Times New Roman"/>
          <w:b/>
          <w:sz w:val="23"/>
        </w:rPr>
        <w:t>6.4 Ceiling grid, panels and trusses</w:t>
      </w:r>
    </w:p>
    <w:p>
      <w:pPr>
        <w:pStyle w:val="ListParagraph"/>
        <w:numPr>
          <w:ilvl w:val="0"/>
          <w:numId w:val="20"/>
        </w:numPr>
        <w:spacing w:after="40"/>
      </w:pPr>
      <w:r>
        <w:rPr>
          <w:rFonts w:ascii="Times New Roman" w:hAnsi="Times New Roman"/>
          <w:b w:val="0"/>
          <w:sz w:val="22"/>
        </w:rPr>
        <w:t>Release the supporting wall/edge-beam arrangement before loading the ceiling system.</w:t>
      </w:r>
    </w:p>
    <w:p>
      <w:pPr>
        <w:pStyle w:val="ListParagraph"/>
        <w:numPr>
          <w:ilvl w:val="0"/>
          <w:numId w:val="20"/>
        </w:numPr>
        <w:spacing w:after="40"/>
      </w:pPr>
      <w:r>
        <w:rPr>
          <w:rFonts w:ascii="Times New Roman" w:hAnsi="Times New Roman"/>
          <w:b w:val="0"/>
          <w:sz w:val="22"/>
        </w:rPr>
        <w:t>Install main/sub-grid and trusses in the manufacturer sequence using approved access and handling/lifting methods.</w:t>
      </w:r>
    </w:p>
    <w:p>
      <w:pPr>
        <w:pStyle w:val="ListParagraph"/>
        <w:numPr>
          <w:ilvl w:val="0"/>
          <w:numId w:val="20"/>
        </w:numPr>
        <w:spacing w:after="40"/>
      </w:pPr>
      <w:r>
        <w:rPr>
          <w:rFonts w:ascii="Times New Roman" w:hAnsi="Times New Roman"/>
          <w:b w:val="0"/>
          <w:sz w:val="22"/>
        </w:rPr>
        <w:t>Some vendor drawings state trusses precede ceiling panels; use the applicable room pack.</w:t>
      </w:r>
    </w:p>
    <w:p>
      <w:pPr>
        <w:pStyle w:val="ListParagraph"/>
        <w:numPr>
          <w:ilvl w:val="0"/>
          <w:numId w:val="20"/>
        </w:numPr>
        <w:spacing w:after="40"/>
      </w:pPr>
      <w:r>
        <w:rPr>
          <w:rFonts w:ascii="Times New Roman" w:hAnsi="Times New Roman"/>
          <w:b w:val="0"/>
          <w:sz w:val="22"/>
        </w:rPr>
        <w:t>Verify truss labels, lengths, weights, fasteners, orientation, restraint, and design acceptance.</w:t>
      </w:r>
    </w:p>
    <w:p>
      <w:pPr>
        <w:pStyle w:val="ListParagraph"/>
        <w:numPr>
          <w:ilvl w:val="0"/>
          <w:numId w:val="20"/>
        </w:numPr>
        <w:spacing w:after="40"/>
      </w:pPr>
      <w:r>
        <w:rPr>
          <w:rFonts w:ascii="Times New Roman" w:hAnsi="Times New Roman"/>
          <w:b w:val="0"/>
          <w:sz w:val="22"/>
        </w:rPr>
        <w:t>Do not load incomplete grids or use the Temporary Stability System as access/support.</w:t>
      </w:r>
    </w:p>
    <w:p>
      <w:pPr>
        <w:keepNext/>
        <w:spacing w:before="100" w:after="80"/>
      </w:pPr>
      <w:r>
        <w:rPr>
          <w:rFonts w:ascii="Times New Roman" w:hAnsi="Times New Roman"/>
          <w:b/>
          <w:sz w:val="23"/>
        </w:rPr>
        <w:t>6.5 FFUs, lights, ducts and AHU interfaces</w:t>
      </w:r>
    </w:p>
    <w:p>
      <w:pPr>
        <w:pStyle w:val="ListParagraph"/>
        <w:numPr>
          <w:ilvl w:val="0"/>
          <w:numId w:val="20"/>
        </w:numPr>
        <w:spacing w:after="40"/>
      </w:pPr>
      <w:r>
        <w:rPr>
          <w:rFonts w:ascii="Times New Roman" w:hAnsi="Times New Roman"/>
          <w:b w:val="0"/>
          <w:sz w:val="22"/>
        </w:rPr>
        <w:t>Coordinate openings and services against the approved reflected ceiling/interface information.</w:t>
      </w:r>
    </w:p>
    <w:p>
      <w:pPr>
        <w:pStyle w:val="ListParagraph"/>
        <w:numPr>
          <w:ilvl w:val="0"/>
          <w:numId w:val="20"/>
        </w:numPr>
        <w:spacing w:after="40"/>
      </w:pPr>
      <w:r>
        <w:rPr>
          <w:rFonts w:ascii="Times New Roman" w:hAnsi="Times New Roman"/>
          <w:b w:val="0"/>
          <w:sz w:val="22"/>
        </w:rPr>
        <w:t>Protect filters and finishes; do not stand or walk on FFUs.</w:t>
      </w:r>
    </w:p>
    <w:p>
      <w:pPr>
        <w:pStyle w:val="ListParagraph"/>
        <w:numPr>
          <w:ilvl w:val="0"/>
          <w:numId w:val="20"/>
        </w:numPr>
        <w:spacing w:after="40"/>
      </w:pPr>
      <w:r>
        <w:rPr>
          <w:rFonts w:ascii="Times New Roman" w:hAnsi="Times New Roman"/>
          <w:b w:val="0"/>
          <w:sz w:val="22"/>
        </w:rPr>
        <w:t>Use mechanical assistance where manual control cannot be maintained.</w:t>
      </w:r>
    </w:p>
    <w:p>
      <w:pPr>
        <w:pStyle w:val="ListParagraph"/>
        <w:numPr>
          <w:ilvl w:val="0"/>
          <w:numId w:val="20"/>
        </w:numPr>
        <w:spacing w:after="40"/>
      </w:pPr>
      <w:r>
        <w:rPr>
          <w:rFonts w:ascii="Times New Roman" w:hAnsi="Times New Roman"/>
          <w:b w:val="0"/>
          <w:sz w:val="22"/>
        </w:rPr>
        <w:t>Interface changes require a hold point and design resolution; no uncontrolled site cutting.</w:t>
      </w:r>
    </w:p>
    <w:p>
      <w:pPr>
        <w:keepNext/>
        <w:spacing w:before="100" w:after="80"/>
      </w:pPr>
      <w:r>
        <w:rPr>
          <w:rFonts w:ascii="Times New Roman" w:hAnsi="Times New Roman"/>
          <w:b/>
          <w:sz w:val="23"/>
        </w:rPr>
        <w:t>6.6 Electrical interfaces</w:t>
      </w:r>
    </w:p>
    <w:p>
      <w:pPr>
        <w:pStyle w:val="ListParagraph"/>
        <w:numPr>
          <w:ilvl w:val="0"/>
          <w:numId w:val="20"/>
        </w:numPr>
        <w:spacing w:after="40"/>
      </w:pPr>
      <w:r>
        <w:rPr>
          <w:rFonts w:ascii="Times New Roman" w:hAnsi="Times New Roman"/>
          <w:b w:val="0"/>
          <w:sz w:val="22"/>
        </w:rPr>
        <w:t>No live electrical work is permitted under this package.</w:t>
      </w:r>
    </w:p>
    <w:p>
      <w:pPr>
        <w:pStyle w:val="ListParagraph"/>
        <w:numPr>
          <w:ilvl w:val="0"/>
          <w:numId w:val="20"/>
        </w:numPr>
        <w:spacing w:after="40"/>
      </w:pPr>
      <w:r>
        <w:rPr>
          <w:rFonts w:ascii="Times New Roman" w:hAnsi="Times New Roman"/>
          <w:b w:val="0"/>
          <w:sz w:val="22"/>
        </w:rPr>
        <w:t>Apply project isolation/LOTO, identify conductors/services, prove dead, and control keys/tags.</w:t>
      </w:r>
    </w:p>
    <w:p>
      <w:pPr>
        <w:pStyle w:val="ListParagraph"/>
        <w:numPr>
          <w:ilvl w:val="0"/>
          <w:numId w:val="20"/>
        </w:numPr>
        <w:spacing w:after="40"/>
      </w:pPr>
      <w:r>
        <w:rPr>
          <w:rFonts w:ascii="Times New Roman" w:hAnsi="Times New Roman"/>
          <w:b w:val="0"/>
          <w:sz w:val="22"/>
        </w:rPr>
        <w:t>Vendor pre-wired connections are completed only by an authorised competent person to the approved information.</w:t>
      </w:r>
    </w:p>
    <w:p>
      <w:pPr>
        <w:pStyle w:val="ListParagraph"/>
        <w:numPr>
          <w:ilvl w:val="0"/>
          <w:numId w:val="20"/>
        </w:numPr>
        <w:spacing w:after="40"/>
      </w:pPr>
      <w:r>
        <w:rPr>
          <w:rFonts w:ascii="Times New Roman" w:hAnsi="Times New Roman"/>
          <w:b w:val="0"/>
          <w:sz w:val="22"/>
        </w:rPr>
        <w:t>Inspection and test evidence is required at HP-08 before energisation by the responsible party.</w:t>
      </w:r>
    </w:p>
    <w:p>
      <w:pPr>
        <w:keepNext/>
        <w:spacing w:before="100" w:after="80"/>
      </w:pPr>
      <w:r>
        <w:rPr>
          <w:rFonts w:ascii="Times New Roman" w:hAnsi="Times New Roman"/>
          <w:b/>
          <w:sz w:val="23"/>
        </w:rPr>
        <w:t>6.7 Flooring, completion and handover</w:t>
      </w:r>
    </w:p>
    <w:p>
      <w:pPr>
        <w:pStyle w:val="ListParagraph"/>
        <w:numPr>
          <w:ilvl w:val="0"/>
          <w:numId w:val="20"/>
        </w:numPr>
        <w:spacing w:after="40"/>
      </w:pPr>
      <w:r>
        <w:rPr>
          <w:rFonts w:ascii="Times New Roman" w:hAnsi="Times New Roman"/>
          <w:b w:val="0"/>
          <w:sz w:val="22"/>
        </w:rPr>
        <w:t>Install insulation/flooring only where included and supported by approved details.</w:t>
      </w:r>
    </w:p>
    <w:p>
      <w:pPr>
        <w:pStyle w:val="ListParagraph"/>
        <w:numPr>
          <w:ilvl w:val="0"/>
          <w:numId w:val="20"/>
        </w:numPr>
        <w:spacing w:after="40"/>
      </w:pPr>
      <w:r>
        <w:rPr>
          <w:rFonts w:ascii="Times New Roman" w:hAnsi="Times New Roman"/>
          <w:b w:val="0"/>
          <w:sz w:val="22"/>
        </w:rPr>
        <w:t>Complete pre-concealment inspections, clean/protect work, close NCRs and snags, and compile records.</w:t>
      </w:r>
    </w:p>
    <w:p>
      <w:pPr>
        <w:pStyle w:val="ListParagraph"/>
        <w:numPr>
          <w:ilvl w:val="0"/>
          <w:numId w:val="20"/>
        </w:numPr>
        <w:spacing w:after="40"/>
      </w:pPr>
      <w:r>
        <w:rPr>
          <w:rFonts w:ascii="Times New Roman" w:hAnsi="Times New Roman"/>
          <w:b w:val="0"/>
          <w:sz w:val="22"/>
        </w:rPr>
        <w:t>Release HP-09 and HP-10 before handover.</w:t>
      </w:r>
    </w:p>
    <w:p>
      <w:pPr>
        <w:spacing w:after="200"/>
        <w:pBdr>
          <w:bottom w:val="single" w:sz="12" w:space="6" w:color="A6A6A6"/>
        </w:pBdr>
      </w:pPr>
    </w:p>
    <w:p>
      <w:pPr>
        <w:keepNext/>
        <w:spacing w:before="160" w:after="80"/>
      </w:pPr>
      <w:r>
        <w:rPr>
          <w:rFonts w:ascii="Times New Roman" w:hAnsi="Times New Roman"/>
          <w:b/>
          <w:sz w:val="26"/>
        </w:rPr>
        <w:t>7. Stop-work and restart</w:t>
      </w:r>
    </w:p>
    <w:p>
      <w:pPr>
        <w:spacing w:after="100"/>
      </w:pPr>
      <w:r>
        <w:rPr>
          <w:rFonts w:ascii="Times New Roman" w:hAnsi="Times New Roman"/>
          <w:b w:val="0"/>
          <w:sz w:val="22"/>
        </w:rPr>
        <w:t>Stop for any HPR-001 trigger, including position/dimension conflict, service clash, unavailable restraint, unsafe handling, damaged material, design or sequence change, missing permit, lift-plan deviation, or uncontrolled interface.</w:t>
      </w:r>
    </w:p>
    <w:p>
      <w:pPr>
        <w:spacing w:after="100"/>
      </w:pPr>
      <w:r>
        <w:rPr>
          <w:rFonts w:ascii="Times New Roman" w:hAnsi="Times New Roman"/>
          <w:b w:val="0"/>
          <w:sz w:val="22"/>
        </w:rPr>
        <w:t>Restart only after the affected POWRA/RAMS/drawing/design/permit/lift or temporary-works information is revised as required and FRM-004 is signed by the authorised role.</w:t>
      </w:r>
    </w:p>
    <w:p>
      <w:pPr>
        <w:spacing w:after="200"/>
        <w:pBdr>
          <w:bottom w:val="single" w:sz="12" w:space="6" w:color="A6A6A6"/>
        </w:pBdr>
      </w:pPr>
    </w:p>
    <w:p>
      <w:pPr>
        <w:keepNext/>
        <w:spacing w:before="160" w:after="80"/>
      </w:pPr>
      <w:r>
        <w:rPr>
          <w:rFonts w:ascii="Times New Roman" w:hAnsi="Times New Roman"/>
          <w:b/>
          <w:sz w:val="26"/>
        </w:rPr>
        <w:t>8. Records</w:t>
      </w:r>
    </w:p>
    <w:p>
      <w:pPr>
        <w:spacing w:after="100"/>
      </w:pPr>
      <w:r>
        <w:rPr>
          <w:rFonts w:ascii="Times New Roman" w:hAnsi="Times New Roman"/>
          <w:b w:val="0"/>
          <w:sz w:val="22"/>
        </w:rPr>
        <w:t>Maintain the current drawing set, briefings, POWRA, competence evidence, material acceptance, plant/equipment inspections, permits, temporary-stability inspections, hold-point releases, ITP checklists, test records, NCRs, and handover pack.</w:t>
      </w:r>
    </w:p>
    <w:p>
      <w:pPr>
        <w:spacing w:after="200"/>
        <w:pBdr>
          <w:bottom w:val="single" w:sz="12" w:space="6" w:color="A6A6A6"/>
        </w:pBdr>
      </w:pPr>
    </w:p>
    <w:p>
      <w:pPr>
        <w:keepNext/>
        <w:spacing w:before="160" w:after="80"/>
      </w:pPr>
      <w:r>
        <w:rPr>
          <w:rFonts w:ascii="Times New Roman" w:hAnsi="Times New Roman"/>
          <w:b/>
          <w:sz w:val="26"/>
        </w:rPr>
        <w:t>9. Briefing and acknowledgement</w:t>
      </w:r>
    </w:p>
    <w:p>
      <w:r>
        <w:rPr>
          <w:rFonts w:ascii="Times New Roman" w:hAnsi="Times New Roman"/>
          <w:sz w:val="22"/>
        </w:rPr>
        <w:t>Personnel confirm that the current approved RAMS, drawings, permits, temporary-stability controls and emergency arrangements have been explained and understood.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3010"/>
        <w:gridCol w:w="3010"/>
        <w:gridCol w:w="3010"/>
      </w:tblGrid>
      <w:tr>
        <w:trPr>
          <w:tblHeader w:val="true"/>
        </w:trPr>
        <w:tc>
          <w:tcPr>
            <w:tcW w:type="dxa" w:w="3312"/>
            <w:shd w:fill="E7E6E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Operative Name</w:t>
            </w:r>
          </w:p>
        </w:tc>
        <w:tc>
          <w:tcPr>
            <w:tcW w:type="dxa" w:w="3312"/>
            <w:shd w:fill="E7E6E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Signature</w:t>
            </w:r>
          </w:p>
        </w:tc>
        <w:tc>
          <w:tcPr>
            <w:tcW w:type="dxa" w:w="2405"/>
            <w:shd w:fill="E7E6E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Date</w:t>
            </w:r>
          </w:p>
        </w:tc>
      </w:tr>
      <w:tr>
        <w:trPr>
          <w:cantSplit/>
        </w:trPr>
        <w:tc>
          <w:tcPr>
            <w:tcW w:type="dxa" w:w="3312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r>
              <w:t xml:space="preserve"> </w:t>
            </w:r>
          </w:p>
        </w:tc>
        <w:tc>
          <w:tcPr>
            <w:tcW w:type="dxa" w:w="3312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r>
              <w:t xml:space="preserve"> </w:t>
            </w:r>
          </w:p>
        </w:tc>
        <w:tc>
          <w:tcPr>
            <w:tcW w:type="dxa" w:w="2405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r>
              <w:t xml:space="preserve"> </w:t>
            </w:r>
          </w:p>
        </w:tc>
      </w:tr>
      <w:tr>
        <w:trPr>
          <w:cantSplit/>
        </w:trPr>
        <w:tc>
          <w:tcPr>
            <w:tcW w:type="dxa" w:w="3312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r>
              <w:t xml:space="preserve"> </w:t>
            </w:r>
          </w:p>
        </w:tc>
        <w:tc>
          <w:tcPr>
            <w:tcW w:type="dxa" w:w="3312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r>
              <w:t xml:space="preserve"> </w:t>
            </w:r>
          </w:p>
        </w:tc>
        <w:tc>
          <w:tcPr>
            <w:tcW w:type="dxa" w:w="2405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r>
              <w:t xml:space="preserve"> </w:t>
            </w:r>
          </w:p>
        </w:tc>
      </w:tr>
      <w:tr>
        <w:trPr>
          <w:cantSplit/>
        </w:trPr>
        <w:tc>
          <w:tcPr>
            <w:tcW w:type="dxa" w:w="3312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r>
              <w:t xml:space="preserve"> </w:t>
            </w:r>
          </w:p>
        </w:tc>
        <w:tc>
          <w:tcPr>
            <w:tcW w:type="dxa" w:w="3312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r>
              <w:t xml:space="preserve"> </w:t>
            </w:r>
          </w:p>
        </w:tc>
        <w:tc>
          <w:tcPr>
            <w:tcW w:type="dxa" w:w="2405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r>
              <w:t xml:space="preserve"> </w:t>
            </w:r>
          </w:p>
        </w:tc>
      </w:tr>
      <w:tr>
        <w:trPr>
          <w:cantSplit/>
        </w:trPr>
        <w:tc>
          <w:tcPr>
            <w:tcW w:type="dxa" w:w="3312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r>
              <w:t xml:space="preserve"> </w:t>
            </w:r>
          </w:p>
        </w:tc>
        <w:tc>
          <w:tcPr>
            <w:tcW w:type="dxa" w:w="3312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r>
              <w:t xml:space="preserve"> </w:t>
            </w:r>
          </w:p>
        </w:tc>
        <w:tc>
          <w:tcPr>
            <w:tcW w:type="dxa" w:w="2405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r>
              <w:t xml:space="preserve"> </w:t>
            </w:r>
          </w:p>
        </w:tc>
      </w:tr>
      <w:tr>
        <w:trPr>
          <w:cantSplit/>
        </w:trPr>
        <w:tc>
          <w:tcPr>
            <w:tcW w:type="dxa" w:w="3312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r>
              <w:t xml:space="preserve"> </w:t>
            </w:r>
          </w:p>
        </w:tc>
        <w:tc>
          <w:tcPr>
            <w:tcW w:type="dxa" w:w="3312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r>
              <w:t xml:space="preserve"> </w:t>
            </w:r>
          </w:p>
        </w:tc>
        <w:tc>
          <w:tcPr>
            <w:tcW w:type="dxa" w:w="2405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r>
              <w:t xml:space="preserve"> </w:t>
            </w:r>
          </w:p>
        </w:tc>
      </w:tr>
      <w:tr>
        <w:trPr>
          <w:cantSplit/>
        </w:trPr>
        <w:tc>
          <w:tcPr>
            <w:tcW w:type="dxa" w:w="3312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r>
              <w:t xml:space="preserve"> </w:t>
            </w:r>
          </w:p>
        </w:tc>
        <w:tc>
          <w:tcPr>
            <w:tcW w:type="dxa" w:w="3312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r>
              <w:t xml:space="preserve"> </w:t>
            </w:r>
          </w:p>
        </w:tc>
        <w:tc>
          <w:tcPr>
            <w:tcW w:type="dxa" w:w="2405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r>
              <w:t xml:space="preserve"> </w:t>
            </w:r>
          </w:p>
        </w:tc>
      </w:tr>
      <w:tr>
        <w:trPr>
          <w:cantSplit/>
        </w:trPr>
        <w:tc>
          <w:tcPr>
            <w:tcW w:type="dxa" w:w="3312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r>
              <w:t xml:space="preserve"> </w:t>
            </w:r>
          </w:p>
        </w:tc>
        <w:tc>
          <w:tcPr>
            <w:tcW w:type="dxa" w:w="3312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r>
              <w:t xml:space="preserve"> </w:t>
            </w:r>
          </w:p>
        </w:tc>
        <w:tc>
          <w:tcPr>
            <w:tcW w:type="dxa" w:w="2405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r>
              <w:t xml:space="preserve"> </w:t>
            </w:r>
          </w:p>
        </w:tc>
      </w:tr>
      <w:tr>
        <w:trPr>
          <w:cantSplit/>
        </w:trPr>
        <w:tc>
          <w:tcPr>
            <w:tcW w:type="dxa" w:w="3312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r>
              <w:t xml:space="preserve"> </w:t>
            </w:r>
          </w:p>
        </w:tc>
        <w:tc>
          <w:tcPr>
            <w:tcW w:type="dxa" w:w="3312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r>
              <w:t xml:space="preserve"> </w:t>
            </w:r>
          </w:p>
        </w:tc>
        <w:tc>
          <w:tcPr>
            <w:tcW w:type="dxa" w:w="2405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r>
              <w:t xml:space="preserve"> </w:t>
            </w:r>
          </w:p>
        </w:tc>
      </w:tr>
      <w:tr>
        <w:trPr>
          <w:cantSplit/>
        </w:trPr>
        <w:tc>
          <w:tcPr>
            <w:tcW w:type="dxa" w:w="3312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r>
              <w:t xml:space="preserve"> </w:t>
            </w:r>
          </w:p>
        </w:tc>
        <w:tc>
          <w:tcPr>
            <w:tcW w:type="dxa" w:w="3312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r>
              <w:t xml:space="preserve"> </w:t>
            </w:r>
          </w:p>
        </w:tc>
        <w:tc>
          <w:tcPr>
            <w:tcW w:type="dxa" w:w="2405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r>
              <w:t xml:space="preserve"> </w:t>
            </w:r>
          </w:p>
        </w:tc>
      </w:tr>
      <w:tr>
        <w:trPr>
          <w:cantSplit/>
        </w:trPr>
        <w:tc>
          <w:tcPr>
            <w:tcW w:type="dxa" w:w="3312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r>
              <w:t xml:space="preserve"> </w:t>
            </w:r>
          </w:p>
        </w:tc>
        <w:tc>
          <w:tcPr>
            <w:tcW w:type="dxa" w:w="3312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r>
              <w:t xml:space="preserve"> </w:t>
            </w:r>
          </w:p>
        </w:tc>
        <w:tc>
          <w:tcPr>
            <w:tcW w:type="dxa" w:w="2405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r>
              <w:t xml:space="preserve"> </w:t>
            </w:r>
          </w:p>
        </w:tc>
      </w:tr>
      <w:tr>
        <w:trPr>
          <w:cantSplit/>
        </w:trPr>
        <w:tc>
          <w:tcPr>
            <w:tcW w:type="dxa" w:w="3312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r>
              <w:t xml:space="preserve"> </w:t>
            </w:r>
          </w:p>
        </w:tc>
        <w:tc>
          <w:tcPr>
            <w:tcW w:type="dxa" w:w="3312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r>
              <w:t xml:space="preserve"> </w:t>
            </w:r>
          </w:p>
        </w:tc>
        <w:tc>
          <w:tcPr>
            <w:tcW w:type="dxa" w:w="2405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r>
              <w:t xml:space="preserve"> </w:t>
            </w:r>
          </w:p>
        </w:tc>
      </w:tr>
      <w:tr>
        <w:trPr>
          <w:cantSplit/>
        </w:trPr>
        <w:tc>
          <w:tcPr>
            <w:tcW w:type="dxa" w:w="3312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r>
              <w:t xml:space="preserve"> </w:t>
            </w:r>
          </w:p>
        </w:tc>
        <w:tc>
          <w:tcPr>
            <w:tcW w:type="dxa" w:w="3312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r>
              <w:t xml:space="preserve"> </w:t>
            </w:r>
          </w:p>
        </w:tc>
        <w:tc>
          <w:tcPr>
            <w:tcW w:type="dxa" w:w="2405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r>
              <w:t xml:space="preserve"> </w:t>
            </w:r>
          </w:p>
        </w:tc>
      </w:tr>
      <w:tr>
        <w:trPr>
          <w:cantSplit/>
        </w:trPr>
        <w:tc>
          <w:tcPr>
            <w:tcW w:type="dxa" w:w="3312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r>
              <w:t xml:space="preserve"> </w:t>
            </w:r>
          </w:p>
        </w:tc>
        <w:tc>
          <w:tcPr>
            <w:tcW w:type="dxa" w:w="3312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r>
              <w:t xml:space="preserve"> </w:t>
            </w:r>
          </w:p>
        </w:tc>
        <w:tc>
          <w:tcPr>
            <w:tcW w:type="dxa" w:w="2405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r>
              <w:t xml:space="preserve"> </w:t>
            </w:r>
          </w:p>
        </w:tc>
      </w:tr>
      <w:tr>
        <w:trPr>
          <w:cantSplit/>
        </w:trPr>
        <w:tc>
          <w:tcPr>
            <w:tcW w:type="dxa" w:w="3312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r>
              <w:t xml:space="preserve"> </w:t>
            </w:r>
          </w:p>
        </w:tc>
        <w:tc>
          <w:tcPr>
            <w:tcW w:type="dxa" w:w="3312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r>
              <w:t xml:space="preserve"> </w:t>
            </w:r>
          </w:p>
        </w:tc>
        <w:tc>
          <w:tcPr>
            <w:tcW w:type="dxa" w:w="2405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r>
              <w:t xml:space="preserve"> </w:t>
            </w:r>
          </w:p>
        </w:tc>
      </w:tr>
      <w:tr>
        <w:trPr>
          <w:cantSplit/>
        </w:trPr>
        <w:tc>
          <w:tcPr>
            <w:tcW w:type="dxa" w:w="3312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r>
              <w:t xml:space="preserve"> </w:t>
            </w:r>
          </w:p>
        </w:tc>
        <w:tc>
          <w:tcPr>
            <w:tcW w:type="dxa" w:w="3312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r>
              <w:t xml:space="preserve"> </w:t>
            </w:r>
          </w:p>
        </w:tc>
        <w:tc>
          <w:tcPr>
            <w:tcW w:type="dxa" w:w="2405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r>
              <w:t xml:space="preserve"> </w:t>
            </w:r>
          </w:p>
        </w:tc>
      </w:tr>
      <w:tr>
        <w:trPr>
          <w:cantSplit/>
        </w:trPr>
        <w:tc>
          <w:tcPr>
            <w:tcW w:type="dxa" w:w="3312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r>
              <w:t xml:space="preserve"> </w:t>
            </w:r>
          </w:p>
        </w:tc>
        <w:tc>
          <w:tcPr>
            <w:tcW w:type="dxa" w:w="3312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r>
              <w:t xml:space="preserve"> </w:t>
            </w:r>
          </w:p>
        </w:tc>
        <w:tc>
          <w:tcPr>
            <w:tcW w:type="dxa" w:w="2405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r>
              <w:t xml:space="preserve"> </w:t>
            </w:r>
          </w:p>
        </w:tc>
      </w:tr>
      <w:tr>
        <w:trPr>
          <w:cantSplit/>
        </w:trPr>
        <w:tc>
          <w:tcPr>
            <w:tcW w:type="dxa" w:w="3312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r>
              <w:t xml:space="preserve"> </w:t>
            </w:r>
          </w:p>
        </w:tc>
        <w:tc>
          <w:tcPr>
            <w:tcW w:type="dxa" w:w="3312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r>
              <w:t xml:space="preserve"> </w:t>
            </w:r>
          </w:p>
        </w:tc>
        <w:tc>
          <w:tcPr>
            <w:tcW w:type="dxa" w:w="2405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r>
              <w:t xml:space="preserve"> </w:t>
            </w:r>
          </w:p>
        </w:tc>
      </w:tr>
      <w:tr>
        <w:trPr>
          <w:cantSplit/>
        </w:trPr>
        <w:tc>
          <w:tcPr>
            <w:tcW w:type="dxa" w:w="3312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r>
              <w:t xml:space="preserve"> </w:t>
            </w:r>
          </w:p>
        </w:tc>
        <w:tc>
          <w:tcPr>
            <w:tcW w:type="dxa" w:w="3312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r>
              <w:t xml:space="preserve"> </w:t>
            </w:r>
          </w:p>
        </w:tc>
        <w:tc>
          <w:tcPr>
            <w:tcW w:type="dxa" w:w="2405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r>
              <w:t xml:space="preserve"> </w:t>
            </w:r>
          </w:p>
        </w:tc>
      </w:tr>
      <w:tr>
        <w:trPr>
          <w:cantSplit/>
        </w:trPr>
        <w:tc>
          <w:tcPr>
            <w:tcW w:type="dxa" w:w="3312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r>
              <w:t xml:space="preserve"> </w:t>
            </w:r>
          </w:p>
        </w:tc>
        <w:tc>
          <w:tcPr>
            <w:tcW w:type="dxa" w:w="3312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r>
              <w:t xml:space="preserve"> </w:t>
            </w:r>
          </w:p>
        </w:tc>
        <w:tc>
          <w:tcPr>
            <w:tcW w:type="dxa" w:w="2405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r>
              <w:t xml:space="preserve"> </w:t>
            </w:r>
          </w:p>
        </w:tc>
      </w:tr>
      <w:tr>
        <w:trPr>
          <w:cantSplit/>
        </w:trPr>
        <w:tc>
          <w:tcPr>
            <w:tcW w:type="dxa" w:w="3312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r>
              <w:t xml:space="preserve"> </w:t>
            </w:r>
          </w:p>
        </w:tc>
        <w:tc>
          <w:tcPr>
            <w:tcW w:type="dxa" w:w="3312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r>
              <w:t xml:space="preserve"> </w:t>
            </w:r>
          </w:p>
        </w:tc>
        <w:tc>
          <w:tcPr>
            <w:tcW w:type="dxa" w:w="2405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r>
              <w:t xml:space="preserve"> </w:t>
            </w:r>
          </w:p>
        </w:tc>
      </w:tr>
      <w:tr>
        <w:trPr>
          <w:cantSplit/>
        </w:trPr>
        <w:tc>
          <w:tcPr>
            <w:tcW w:type="dxa" w:w="3312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r>
              <w:t xml:space="preserve"> </w:t>
            </w:r>
          </w:p>
        </w:tc>
        <w:tc>
          <w:tcPr>
            <w:tcW w:type="dxa" w:w="3312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r>
              <w:t xml:space="preserve"> </w:t>
            </w:r>
          </w:p>
        </w:tc>
        <w:tc>
          <w:tcPr>
            <w:tcW w:type="dxa" w:w="2405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r>
              <w:t xml:space="preserve"> </w:t>
            </w:r>
          </w:p>
        </w:tc>
      </w:tr>
      <w:tr>
        <w:trPr>
          <w:cantSplit/>
        </w:trPr>
        <w:tc>
          <w:tcPr>
            <w:tcW w:type="dxa" w:w="3312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r>
              <w:t xml:space="preserve"> </w:t>
            </w:r>
          </w:p>
        </w:tc>
        <w:tc>
          <w:tcPr>
            <w:tcW w:type="dxa" w:w="3312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r>
              <w:t xml:space="preserve"> </w:t>
            </w:r>
          </w:p>
        </w:tc>
        <w:tc>
          <w:tcPr>
            <w:tcW w:type="dxa" w:w="2405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r>
              <w:t xml:space="preserve"> </w:t>
            </w:r>
          </w:p>
        </w:tc>
      </w:tr>
      <w:tr>
        <w:trPr>
          <w:cantSplit/>
        </w:trPr>
        <w:tc>
          <w:tcPr>
            <w:tcW w:type="dxa" w:w="3312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r>
              <w:t xml:space="preserve"> </w:t>
            </w:r>
          </w:p>
        </w:tc>
        <w:tc>
          <w:tcPr>
            <w:tcW w:type="dxa" w:w="3312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r>
              <w:t xml:space="preserve"> </w:t>
            </w:r>
          </w:p>
        </w:tc>
        <w:tc>
          <w:tcPr>
            <w:tcW w:type="dxa" w:w="2405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r>
              <w:t xml:space="preserve"> </w:t>
            </w:r>
          </w:p>
        </w:tc>
      </w:tr>
      <w:tr>
        <w:trPr>
          <w:cantSplit/>
        </w:trPr>
        <w:tc>
          <w:tcPr>
            <w:tcW w:type="dxa" w:w="3312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r>
              <w:t xml:space="preserve"> </w:t>
            </w:r>
          </w:p>
        </w:tc>
        <w:tc>
          <w:tcPr>
            <w:tcW w:type="dxa" w:w="3312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r>
              <w:t xml:space="preserve"> </w:t>
            </w:r>
          </w:p>
        </w:tc>
        <w:tc>
          <w:tcPr>
            <w:tcW w:type="dxa" w:w="2405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r>
              <w:t xml:space="preserve"> </w:t>
            </w:r>
          </w:p>
        </w:tc>
      </w:tr>
    </w:tbl>
    <w:sectPr w:rsidR="00D81076">
      <w:pgSz w:w="11909" w:h="16834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C2E95F" w14:textId="77777777" w:rsidR="00736600" w:rsidRDefault="00736600" w:rsidP="00D951FC">
      <w:pPr>
        <w:spacing w:after="0" w:line="240" w:lineRule="auto"/>
      </w:pPr>
      <w:r>
        <w:separator/>
      </w:r>
    </w:p>
  </w:endnote>
  <w:endnote w:type="continuationSeparator" w:id="0">
    <w:p w14:paraId="55ACBF1B" w14:textId="77777777" w:rsidR="00736600" w:rsidRDefault="00736600" w:rsidP="00D951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3A69DC" w14:textId="77777777" w:rsidR="00736600" w:rsidRDefault="00736600" w:rsidP="00D951FC">
      <w:pPr>
        <w:spacing w:after="0" w:line="240" w:lineRule="auto"/>
      </w:pPr>
      <w:r>
        <w:separator/>
      </w:r>
    </w:p>
  </w:footnote>
  <w:footnote w:type="continuationSeparator" w:id="0">
    <w:p w14:paraId="068BCB3C" w14:textId="77777777" w:rsidR="00736600" w:rsidRDefault="00736600" w:rsidP="00D951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2895FB5"/>
    <w:multiLevelType w:val="hybridMultilevel"/>
    <w:tmpl w:val="CBEEEFC2"/>
    <w:lvl w:ilvl="0" w:tplc="8084D460">
      <w:numFmt w:val="bullet"/>
      <w:lvlText w:val=""/>
      <w:lvlJc w:val="left"/>
      <w:pPr>
        <w:ind w:left="82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E6E7568">
      <w:numFmt w:val="bullet"/>
      <w:lvlText w:val="o"/>
      <w:lvlJc w:val="left"/>
      <w:pPr>
        <w:ind w:left="1548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9B30031A">
      <w:numFmt w:val="bullet"/>
      <w:lvlText w:val="•"/>
      <w:lvlJc w:val="left"/>
      <w:pPr>
        <w:ind w:left="2565" w:hanging="360"/>
      </w:pPr>
      <w:rPr>
        <w:rFonts w:hint="default"/>
        <w:lang w:val="en-US" w:eastAsia="en-US" w:bidi="ar-SA"/>
      </w:rPr>
    </w:lvl>
    <w:lvl w:ilvl="3" w:tplc="44EA4D3C">
      <w:numFmt w:val="bullet"/>
      <w:lvlText w:val="•"/>
      <w:lvlJc w:val="left"/>
      <w:pPr>
        <w:ind w:left="3590" w:hanging="360"/>
      </w:pPr>
      <w:rPr>
        <w:rFonts w:hint="default"/>
        <w:lang w:val="en-US" w:eastAsia="en-US" w:bidi="ar-SA"/>
      </w:rPr>
    </w:lvl>
    <w:lvl w:ilvl="4" w:tplc="62A02352">
      <w:numFmt w:val="bullet"/>
      <w:lvlText w:val="•"/>
      <w:lvlJc w:val="left"/>
      <w:pPr>
        <w:ind w:left="4616" w:hanging="360"/>
      </w:pPr>
      <w:rPr>
        <w:rFonts w:hint="default"/>
        <w:lang w:val="en-US" w:eastAsia="en-US" w:bidi="ar-SA"/>
      </w:rPr>
    </w:lvl>
    <w:lvl w:ilvl="5" w:tplc="70865AEC">
      <w:numFmt w:val="bullet"/>
      <w:lvlText w:val="•"/>
      <w:lvlJc w:val="left"/>
      <w:pPr>
        <w:ind w:left="5641" w:hanging="360"/>
      </w:pPr>
      <w:rPr>
        <w:rFonts w:hint="default"/>
        <w:lang w:val="en-US" w:eastAsia="en-US" w:bidi="ar-SA"/>
      </w:rPr>
    </w:lvl>
    <w:lvl w:ilvl="6" w:tplc="86AAD06C">
      <w:numFmt w:val="bullet"/>
      <w:lvlText w:val="•"/>
      <w:lvlJc w:val="left"/>
      <w:pPr>
        <w:ind w:left="6666" w:hanging="360"/>
      </w:pPr>
      <w:rPr>
        <w:rFonts w:hint="default"/>
        <w:lang w:val="en-US" w:eastAsia="en-US" w:bidi="ar-SA"/>
      </w:rPr>
    </w:lvl>
    <w:lvl w:ilvl="7" w:tplc="7032A5C2">
      <w:numFmt w:val="bullet"/>
      <w:lvlText w:val="•"/>
      <w:lvlJc w:val="left"/>
      <w:pPr>
        <w:ind w:left="7692" w:hanging="360"/>
      </w:pPr>
      <w:rPr>
        <w:rFonts w:hint="default"/>
        <w:lang w:val="en-US" w:eastAsia="en-US" w:bidi="ar-SA"/>
      </w:rPr>
    </w:lvl>
    <w:lvl w:ilvl="8" w:tplc="740C7562">
      <w:numFmt w:val="bullet"/>
      <w:lvlText w:val="•"/>
      <w:lvlJc w:val="left"/>
      <w:pPr>
        <w:ind w:left="871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2CD2D7B"/>
    <w:multiLevelType w:val="multilevel"/>
    <w:tmpl w:val="0FDE2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56493"/>
    <w:multiLevelType w:val="multilevel"/>
    <w:tmpl w:val="5DA4C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D33F4"/>
    <w:multiLevelType w:val="multilevel"/>
    <w:tmpl w:val="A23A3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350B87"/>
    <w:multiLevelType w:val="multilevel"/>
    <w:tmpl w:val="EA8CB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63575F"/>
    <w:multiLevelType w:val="multilevel"/>
    <w:tmpl w:val="5B183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B92DDA"/>
    <w:multiLevelType w:val="multilevel"/>
    <w:tmpl w:val="8F3C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CB1B69"/>
    <w:multiLevelType w:val="multilevel"/>
    <w:tmpl w:val="6E2055B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369B2058"/>
    <w:multiLevelType w:val="multilevel"/>
    <w:tmpl w:val="307E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4752BA"/>
    <w:multiLevelType w:val="multilevel"/>
    <w:tmpl w:val="EB88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DC5EA5"/>
    <w:multiLevelType w:val="hybridMultilevel"/>
    <w:tmpl w:val="770CA1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9602C5"/>
    <w:multiLevelType w:val="multilevel"/>
    <w:tmpl w:val="E37E0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53445D"/>
    <w:multiLevelType w:val="multilevel"/>
    <w:tmpl w:val="DAAA6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B94203"/>
    <w:multiLevelType w:val="multilevel"/>
    <w:tmpl w:val="6C92A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820E2B"/>
    <w:multiLevelType w:val="multilevel"/>
    <w:tmpl w:val="82C67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98113D"/>
    <w:multiLevelType w:val="multilevel"/>
    <w:tmpl w:val="F5EAA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A2C6B7C"/>
    <w:multiLevelType w:val="multilevel"/>
    <w:tmpl w:val="79B0D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EA0CF6"/>
    <w:multiLevelType w:val="hybridMultilevel"/>
    <w:tmpl w:val="BCF0EF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0B4BAF"/>
    <w:multiLevelType w:val="multilevel"/>
    <w:tmpl w:val="7166E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9762907">
    <w:abstractNumId w:val="4"/>
  </w:num>
  <w:num w:numId="2" w16cid:durableId="904687434">
    <w:abstractNumId w:val="8"/>
  </w:num>
  <w:num w:numId="3" w16cid:durableId="1965112038">
    <w:abstractNumId w:val="6"/>
  </w:num>
  <w:num w:numId="4" w16cid:durableId="15691318">
    <w:abstractNumId w:val="12"/>
  </w:num>
  <w:num w:numId="5" w16cid:durableId="536158271">
    <w:abstractNumId w:val="14"/>
  </w:num>
  <w:num w:numId="6" w16cid:durableId="471559157">
    <w:abstractNumId w:val="11"/>
  </w:num>
  <w:num w:numId="7" w16cid:durableId="1665748">
    <w:abstractNumId w:val="13"/>
  </w:num>
  <w:num w:numId="8" w16cid:durableId="1377506422">
    <w:abstractNumId w:val="5"/>
  </w:num>
  <w:num w:numId="9" w16cid:durableId="1431119123">
    <w:abstractNumId w:val="3"/>
  </w:num>
  <w:num w:numId="10" w16cid:durableId="41027480">
    <w:abstractNumId w:val="1"/>
  </w:num>
  <w:num w:numId="11" w16cid:durableId="697583248">
    <w:abstractNumId w:val="2"/>
  </w:num>
  <w:num w:numId="12" w16cid:durableId="27948816">
    <w:abstractNumId w:val="9"/>
  </w:num>
  <w:num w:numId="13" w16cid:durableId="1482961985">
    <w:abstractNumId w:val="18"/>
  </w:num>
  <w:num w:numId="14" w16cid:durableId="1325007741">
    <w:abstractNumId w:val="16"/>
  </w:num>
  <w:num w:numId="15" w16cid:durableId="1578592409">
    <w:abstractNumId w:val="7"/>
  </w:num>
  <w:num w:numId="16" w16cid:durableId="1934507054">
    <w:abstractNumId w:val="17"/>
  </w:num>
  <w:num w:numId="17" w16cid:durableId="1269198254">
    <w:abstractNumId w:val="0"/>
  </w:num>
  <w:num w:numId="18" w16cid:durableId="860238689">
    <w:abstractNumId w:val="10"/>
  </w:num>
  <w:num w:numId="19" w16cid:durableId="942150156">
    <w:abstractNumId w:val="15"/>
  </w:num>
  <w:abstractNum w:abstractNumId="1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</w:lvl>
  </w:abstractNum>
  <w:num w:numId="20">
    <w:abstractNumId w:val="19"/>
  </w:num>
  <w:abstractNum w:abstractNumId="2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ACA"/>
    <w:rsid w:val="00040C4E"/>
    <w:rsid w:val="000414F4"/>
    <w:rsid w:val="00044EEA"/>
    <w:rsid w:val="000505C5"/>
    <w:rsid w:val="00051B9A"/>
    <w:rsid w:val="000551E4"/>
    <w:rsid w:val="00071F7D"/>
    <w:rsid w:val="00085698"/>
    <w:rsid w:val="0009082A"/>
    <w:rsid w:val="000A48FE"/>
    <w:rsid w:val="000B0AB6"/>
    <w:rsid w:val="000C27BC"/>
    <w:rsid w:val="000E4615"/>
    <w:rsid w:val="000F6A25"/>
    <w:rsid w:val="00111A03"/>
    <w:rsid w:val="001162A9"/>
    <w:rsid w:val="0012731C"/>
    <w:rsid w:val="00132850"/>
    <w:rsid w:val="0014105E"/>
    <w:rsid w:val="001542D5"/>
    <w:rsid w:val="00163EE5"/>
    <w:rsid w:val="00182327"/>
    <w:rsid w:val="001B3EF0"/>
    <w:rsid w:val="001B54CD"/>
    <w:rsid w:val="001C2A03"/>
    <w:rsid w:val="001C70AE"/>
    <w:rsid w:val="001C7BA4"/>
    <w:rsid w:val="00201520"/>
    <w:rsid w:val="002045C7"/>
    <w:rsid w:val="00207687"/>
    <w:rsid w:val="00223F9B"/>
    <w:rsid w:val="00266B87"/>
    <w:rsid w:val="00275C8F"/>
    <w:rsid w:val="00275F85"/>
    <w:rsid w:val="0027701D"/>
    <w:rsid w:val="00287B44"/>
    <w:rsid w:val="002A18E0"/>
    <w:rsid w:val="002B5A7E"/>
    <w:rsid w:val="002C08A8"/>
    <w:rsid w:val="002C08FC"/>
    <w:rsid w:val="002C5870"/>
    <w:rsid w:val="002C76B1"/>
    <w:rsid w:val="002D7B0F"/>
    <w:rsid w:val="002E0899"/>
    <w:rsid w:val="002E5578"/>
    <w:rsid w:val="002E6012"/>
    <w:rsid w:val="002F198C"/>
    <w:rsid w:val="003063A7"/>
    <w:rsid w:val="00310F95"/>
    <w:rsid w:val="00314F7B"/>
    <w:rsid w:val="00324EEC"/>
    <w:rsid w:val="00326D6B"/>
    <w:rsid w:val="0033371D"/>
    <w:rsid w:val="00341F47"/>
    <w:rsid w:val="0034761F"/>
    <w:rsid w:val="00357350"/>
    <w:rsid w:val="003625EC"/>
    <w:rsid w:val="003629FB"/>
    <w:rsid w:val="00383497"/>
    <w:rsid w:val="003859F6"/>
    <w:rsid w:val="003871A6"/>
    <w:rsid w:val="0039713F"/>
    <w:rsid w:val="003A320F"/>
    <w:rsid w:val="003B1CFA"/>
    <w:rsid w:val="003C7ADE"/>
    <w:rsid w:val="00407AEA"/>
    <w:rsid w:val="00416884"/>
    <w:rsid w:val="00420153"/>
    <w:rsid w:val="004325B2"/>
    <w:rsid w:val="004350DD"/>
    <w:rsid w:val="0047338A"/>
    <w:rsid w:val="00481D8C"/>
    <w:rsid w:val="004A02F1"/>
    <w:rsid w:val="004B0432"/>
    <w:rsid w:val="004D4C51"/>
    <w:rsid w:val="004D4CB7"/>
    <w:rsid w:val="004D55D1"/>
    <w:rsid w:val="004F454C"/>
    <w:rsid w:val="004F72E9"/>
    <w:rsid w:val="00504947"/>
    <w:rsid w:val="00506BDE"/>
    <w:rsid w:val="005139B3"/>
    <w:rsid w:val="00513ACA"/>
    <w:rsid w:val="0052037D"/>
    <w:rsid w:val="0053260D"/>
    <w:rsid w:val="005452E6"/>
    <w:rsid w:val="00552678"/>
    <w:rsid w:val="00563B7A"/>
    <w:rsid w:val="00564C1E"/>
    <w:rsid w:val="00571CD3"/>
    <w:rsid w:val="00586E5A"/>
    <w:rsid w:val="005876EA"/>
    <w:rsid w:val="00591339"/>
    <w:rsid w:val="005971CC"/>
    <w:rsid w:val="005A0DA5"/>
    <w:rsid w:val="005C28F6"/>
    <w:rsid w:val="005F00FD"/>
    <w:rsid w:val="005F2C1D"/>
    <w:rsid w:val="005F7868"/>
    <w:rsid w:val="00622D5B"/>
    <w:rsid w:val="00664D8E"/>
    <w:rsid w:val="00684A1A"/>
    <w:rsid w:val="00690E3F"/>
    <w:rsid w:val="006917EC"/>
    <w:rsid w:val="006A7B3C"/>
    <w:rsid w:val="006C7578"/>
    <w:rsid w:val="006D17A5"/>
    <w:rsid w:val="006D1F67"/>
    <w:rsid w:val="006E23CE"/>
    <w:rsid w:val="006F0E44"/>
    <w:rsid w:val="00734EB7"/>
    <w:rsid w:val="00736600"/>
    <w:rsid w:val="007511B9"/>
    <w:rsid w:val="00755F1A"/>
    <w:rsid w:val="00765757"/>
    <w:rsid w:val="00775761"/>
    <w:rsid w:val="007A0571"/>
    <w:rsid w:val="007B2D41"/>
    <w:rsid w:val="007C7E08"/>
    <w:rsid w:val="007D334D"/>
    <w:rsid w:val="007D3584"/>
    <w:rsid w:val="007D684E"/>
    <w:rsid w:val="007F1401"/>
    <w:rsid w:val="007F1E6E"/>
    <w:rsid w:val="007F6A09"/>
    <w:rsid w:val="00864415"/>
    <w:rsid w:val="00866104"/>
    <w:rsid w:val="008762A7"/>
    <w:rsid w:val="008824E8"/>
    <w:rsid w:val="0089526D"/>
    <w:rsid w:val="008A2656"/>
    <w:rsid w:val="008C76ED"/>
    <w:rsid w:val="008E5A26"/>
    <w:rsid w:val="008F4468"/>
    <w:rsid w:val="009027D0"/>
    <w:rsid w:val="00916868"/>
    <w:rsid w:val="00917AF7"/>
    <w:rsid w:val="0092132E"/>
    <w:rsid w:val="0092657C"/>
    <w:rsid w:val="00926BD2"/>
    <w:rsid w:val="00941740"/>
    <w:rsid w:val="00945916"/>
    <w:rsid w:val="009657EF"/>
    <w:rsid w:val="00972F86"/>
    <w:rsid w:val="009952B7"/>
    <w:rsid w:val="009A507C"/>
    <w:rsid w:val="009C1296"/>
    <w:rsid w:val="009C5790"/>
    <w:rsid w:val="009E3114"/>
    <w:rsid w:val="009E671B"/>
    <w:rsid w:val="00A0030A"/>
    <w:rsid w:val="00A050B7"/>
    <w:rsid w:val="00A32C8C"/>
    <w:rsid w:val="00A53826"/>
    <w:rsid w:val="00A57226"/>
    <w:rsid w:val="00A60B1E"/>
    <w:rsid w:val="00A64519"/>
    <w:rsid w:val="00A65C95"/>
    <w:rsid w:val="00A72E20"/>
    <w:rsid w:val="00A84226"/>
    <w:rsid w:val="00A8659D"/>
    <w:rsid w:val="00A978DF"/>
    <w:rsid w:val="00AA48E6"/>
    <w:rsid w:val="00AA714B"/>
    <w:rsid w:val="00AD3136"/>
    <w:rsid w:val="00AE5039"/>
    <w:rsid w:val="00AF6044"/>
    <w:rsid w:val="00B134D1"/>
    <w:rsid w:val="00B212A8"/>
    <w:rsid w:val="00B30DB6"/>
    <w:rsid w:val="00B5157F"/>
    <w:rsid w:val="00B541C3"/>
    <w:rsid w:val="00B56EC1"/>
    <w:rsid w:val="00B75875"/>
    <w:rsid w:val="00B929F0"/>
    <w:rsid w:val="00B94E5F"/>
    <w:rsid w:val="00BA1D0B"/>
    <w:rsid w:val="00BB525A"/>
    <w:rsid w:val="00BC13FC"/>
    <w:rsid w:val="00BC74E0"/>
    <w:rsid w:val="00BE2626"/>
    <w:rsid w:val="00BE7967"/>
    <w:rsid w:val="00BF1E1A"/>
    <w:rsid w:val="00C3701D"/>
    <w:rsid w:val="00C47470"/>
    <w:rsid w:val="00C5159A"/>
    <w:rsid w:val="00C82EAE"/>
    <w:rsid w:val="00C8693E"/>
    <w:rsid w:val="00C86943"/>
    <w:rsid w:val="00C8716A"/>
    <w:rsid w:val="00C970C6"/>
    <w:rsid w:val="00CC3D18"/>
    <w:rsid w:val="00CD06D9"/>
    <w:rsid w:val="00D02194"/>
    <w:rsid w:val="00D231CD"/>
    <w:rsid w:val="00D35DF7"/>
    <w:rsid w:val="00D364EE"/>
    <w:rsid w:val="00D37D6A"/>
    <w:rsid w:val="00D4568F"/>
    <w:rsid w:val="00D61369"/>
    <w:rsid w:val="00D66551"/>
    <w:rsid w:val="00D67369"/>
    <w:rsid w:val="00D81076"/>
    <w:rsid w:val="00D86B6B"/>
    <w:rsid w:val="00D951FC"/>
    <w:rsid w:val="00DB0B1F"/>
    <w:rsid w:val="00DB32F0"/>
    <w:rsid w:val="00DB3E7D"/>
    <w:rsid w:val="00DD29CE"/>
    <w:rsid w:val="00DD7C7B"/>
    <w:rsid w:val="00DE4193"/>
    <w:rsid w:val="00E00714"/>
    <w:rsid w:val="00E273B6"/>
    <w:rsid w:val="00E400BE"/>
    <w:rsid w:val="00E41DEB"/>
    <w:rsid w:val="00E4600F"/>
    <w:rsid w:val="00E67E1A"/>
    <w:rsid w:val="00E743A9"/>
    <w:rsid w:val="00E85C63"/>
    <w:rsid w:val="00E85FAD"/>
    <w:rsid w:val="00E87739"/>
    <w:rsid w:val="00E97F08"/>
    <w:rsid w:val="00EB5609"/>
    <w:rsid w:val="00EB5DD2"/>
    <w:rsid w:val="00ED4C9A"/>
    <w:rsid w:val="00EE3B9A"/>
    <w:rsid w:val="00EE3C18"/>
    <w:rsid w:val="00EE70B1"/>
    <w:rsid w:val="00EF0FE2"/>
    <w:rsid w:val="00F078A2"/>
    <w:rsid w:val="00F20A72"/>
    <w:rsid w:val="00F23657"/>
    <w:rsid w:val="00F26CF2"/>
    <w:rsid w:val="00F31596"/>
    <w:rsid w:val="00F37634"/>
    <w:rsid w:val="00F41659"/>
    <w:rsid w:val="00F4301C"/>
    <w:rsid w:val="00F438F3"/>
    <w:rsid w:val="00F652B3"/>
    <w:rsid w:val="00F65533"/>
    <w:rsid w:val="00F733C0"/>
    <w:rsid w:val="00F9234B"/>
    <w:rsid w:val="00F92D84"/>
    <w:rsid w:val="00F947FE"/>
    <w:rsid w:val="00FA0542"/>
    <w:rsid w:val="00FA5151"/>
    <w:rsid w:val="00FB2A99"/>
    <w:rsid w:val="00FC35B3"/>
    <w:rsid w:val="00FE6518"/>
    <w:rsid w:val="00FF4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DF4BAD"/>
  <w15:chartTrackingRefBased/>
  <w15:docId w15:val="{BD490EF7-56E3-4CC6-A32A-543472B6B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hAnsi="Times New Roman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3A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3A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A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A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A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A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A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A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A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A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13A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A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A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A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A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A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A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A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A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A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A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A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A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A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A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A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A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A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AC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203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951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51FC"/>
  </w:style>
  <w:style w:type="paragraph" w:styleId="Footer">
    <w:name w:val="footer"/>
    <w:basedOn w:val="Normal"/>
    <w:link w:val="FooterChar"/>
    <w:uiPriority w:val="99"/>
    <w:unhideWhenUsed/>
    <w:rsid w:val="00D951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51FC"/>
  </w:style>
  <w:style w:type="paragraph" w:styleId="BodyText">
    <w:name w:val="Body Text"/>
    <w:basedOn w:val="Normal"/>
    <w:link w:val="BodyTextChar"/>
    <w:qFormat/>
    <w:rsid w:val="00383497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0"/>
      <w:szCs w:val="2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383497"/>
    <w:rPr>
      <w:rFonts w:ascii="Arial MT" w:eastAsia="Arial MT" w:hAnsi="Arial MT" w:cs="Arial MT"/>
      <w:kern w:val="0"/>
      <w:sz w:val="20"/>
      <w:szCs w:val="2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09082A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20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CC1F10-D20E-4624-91E2-FB32C65A24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11644</TotalTime>
  <Pages>7</Pages>
  <Words>1522</Words>
  <Characters>8676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MS-001 Rev C1 - Method Statement</dc:title>
  <dc:subject>SC021 &amp; SC038 Cleanroom and Modular Room Assembly Activities</dc:subject>
  <dc:creator>Matt Thomson</dc:creator>
  <cp:keywords/>
  <dc:description>Draft for coordinated review - not approved for construction</dc:description>
  <cp:lastModifiedBy>Hemant Apte</cp:lastModifiedBy>
  <cp:revision>96</cp:revision>
  <dcterms:created xsi:type="dcterms:W3CDTF">2026-05-20T07:22:00Z</dcterms:created>
  <dcterms:modified xsi:type="dcterms:W3CDTF">2026-08-04T00:00:00Z</dcterms:modified>
</cp:coreProperties>
</file>