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A3CC" w14:textId="4EF2E582" w:rsidR="00E56318" w:rsidRDefault="00BF0E30">
      <w:r>
        <w:t>3E.  Yes, it captures TF, IDF and document length normalization. IDF is in the denominator as well as document length normalization.</w:t>
      </w:r>
    </w:p>
    <w:sectPr w:rsidR="00E5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30"/>
    <w:rsid w:val="004B2EA9"/>
    <w:rsid w:val="00B11ADA"/>
    <w:rsid w:val="00B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F7C7E"/>
  <w15:chartTrackingRefBased/>
  <w15:docId w15:val="{05C8602D-D89B-F74B-8C72-74445813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Barnett</dc:creator>
  <cp:keywords/>
  <dc:description/>
  <cp:lastModifiedBy>Carson Barnett</cp:lastModifiedBy>
  <cp:revision>1</cp:revision>
  <dcterms:created xsi:type="dcterms:W3CDTF">2021-09-29T15:37:00Z</dcterms:created>
  <dcterms:modified xsi:type="dcterms:W3CDTF">2021-09-29T15:40:00Z</dcterms:modified>
</cp:coreProperties>
</file>