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Метод площади под кривой (AUC) в программном обеспечении для анализа биологических данных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Используемые библиотеки и импортируемые методы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Вычисление и визуализация площади под кривой реализованы с использованием следующих стандартных библиотек языка Python: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55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Библиотека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57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 в контексте AUC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 1.24</w:t>
            </w:r>
          </w:p>
        </w:tc>
        <w:tc>
          <w:tcPr>
            <w:tcW w:type="dxa" w:w="57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Численное интегрирование (trapz), матричные операции, интерполяция (interp)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SciPy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 1.10</w:t>
            </w:r>
          </w:p>
        </w:tc>
        <w:tc>
          <w:tcPr>
            <w:tcW w:type="dxa" w:w="57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Критерий нормальности Шапиро–Уилка (shapiro), критерий Манна–Уитни (mannwhitneyu)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 3.7</w:t>
            </w:r>
          </w:p>
        </w:tc>
        <w:tc>
          <w:tcPr>
            <w:tcW w:type="dxa" w:w="57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графиков кривых и столбчатых диаграмм AUC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Seaborn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 0.12</w:t>
            </w:r>
          </w:p>
        </w:tc>
        <w:tc>
          <w:tcPr>
            <w:tcW w:type="dxa" w:w="57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Цветовые палитры для столбчатых диаграмм (color_palette)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Конкретные импортируемые имена, задействованные при расчёте AUC: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stats_methods/support_stats_methods.py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                          # np.trapz, np.interp, np.sqrt, np.std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utils/visualizer.py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                          # np.trapz, np.array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scipy.stats import shapiro as shapiro_test   # тест нормальности по AUC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draw_base_graphs.py, skin_reactions_base_grapf.py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scipy.stats import mannwhitneyu        # сравнение распределений AUC групп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seaborn as sns                       # sns.color_palette для барчарта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Математическая основа: метод трапеций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Центральным инструментом является функция </w:t>
      </w:r>
      <w:r>
        <w:rPr>
          <w:rFonts w:ascii="Courier New" w:cs="Courier New" w:eastAsia="Courier New" w:hAnsi="Courier New"/>
          <w:sz w:val="22"/>
          <w:szCs w:val="22"/>
        </w:rPr>
        <w:t xml:space="preserve">numpy.trapz(y, x)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реализующая правило трапеций для численного интегрирования. Для набора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точек (x₀, y₀), (x₁, y₁), …, (xₚ₋₁, yₚ₋₁) площадь вычисляется по формуле:</w:t>
      </w:r>
    </w:p>
    <w:p>
      <w:pPr>
        <w:spacing w:after="160" w:before="160"/>
        <w:jc w:val="center"/>
      </w:pPr>
      <m:oMath>
        <m:r>
          <m:t>AUC = </m:t>
        </m:r>
        <m:nary>
          <m:naryPr>
            <m:chr m:val="∑"/>
            <m:limLoc m:val="undOvr"/>
          </m:naryPr>
          <m:sub>
            <m:r>
              <m:t>i = 0</m:t>
            </m:r>
          </m:sub>
          <m:sup>
            <m:r>
              <m:t>n − 2</m:t>
            </m:r>
          </m:sup>
          <m:e>
            <m:f>
              <m:num>
                <m:d>
                  <m:dPr/>
                  <m:e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i+1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d>
                  <m:dPr/>
                  <m:e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+ 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i+1</m:t>
                        </m:r>
                      </m:sub>
                    </m:sSub>
                  </m:e>
                </m:d>
              </m:num>
              <m:den>
                <m:r>
                  <m:t>2</m:t>
                </m:r>
              </m:den>
            </m:f>
          </m:e>
        </m:nary>
      </m:oMath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трапеций выбран в силу следующих свойств, актуальных для биологических временны́х рядов: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Неравномерность сетки — в экспериментах замеры проводятся через разные интервалы (например, дни 0, 3, 7, 10, 14, 21). Формула корректно учитывает фактическую длину каждого интервала (xᵢ₊₁ − xᵢ), не требуя равномерной дискретизации.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Простота и надёжность — в отличие от методов Симпсона, не предъявляет требований к чётности числа точек и не вносит дополнительных погрешностей при нерегулярных шагах.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Биологическая интерпретация — результат имеет физический смысл: для объёма опухоли единицы AUC — мм³·сут (суммарная «опухолевая нагрузка» за период наблюдения); для кожных реакций — балл·сут (суммарная тяжесть реакции).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инкапсулирована в статический метод класса </w:t>
      </w:r>
      <w:r>
        <w:rPr>
          <w:rFonts w:ascii="Courier New" w:cs="Courier New" w:eastAsia="Courier New" w:hAnsi="Courier New"/>
          <w:sz w:val="22"/>
          <w:szCs w:val="22"/>
        </w:rPr>
        <w:t xml:space="preserve">SupportingFunctions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stats_methods/support_stats_methods.py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@staticmethod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calculate_auc(y, x):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np.trapz(y, x)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Предварительная интерполяция при неоднородных временны́х осях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вычислять AUC в задачах группового сравнения, данные разных животных и экспериментальных групп приводятся к единой временно́й сетке. Это необходимо, поскольку животные могут выбывать из наблюдения в разные моменты, а временны́е точки измерений в разных группах не всегда совпадают.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кожных реакций применяется линейная интерполяция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numpy.interp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метод одномерной кусочно-линейной интерполяции: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stats_methods/support_stats_methods.py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interpolate_data_to_common_timepoints(time_data, skin_reactions, common_timepoints):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np.interp(common_timepoints, time_data, skin_reactions)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Общая временна́я сетка задана как </w:t>
      </w:r>
      <w:r>
        <w:rPr>
          <w:rFonts w:ascii="Courier New" w:cs="Courier New" w:eastAsia="Courier New" w:hAnsi="Courier New"/>
          <w:sz w:val="22"/>
          <w:szCs w:val="22"/>
        </w:rPr>
        <w:t xml:space="preserve">range(0, 25)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равномерная, с шагом 1 сутки, охватывающая период наблюдения. Для каждой кривой значения в узлах этой сетки вычисляются линейной интерполяцией между двумя ближайшими измеренными точками.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объёмов опухолей используется пересечение множеств фактически измеренных точек всех животных в группе: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draw_base_graphs.py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all_time_points = [set([int(t) for t in time_data]) for _ in individual_volumes]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common_time_points = sorted(set.intersection(*all_time_points))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Такой подход гарантирует, что AUC вычисляется только по тем временны́м точкам, в которых реально присутствуют данные всех особей, исключая экстраполяцию за пределы наблюдаемого диапазона.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Расчёт AUC для средней групповой кривой и ошибки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интерполяции для каждой экспериментальной группы вычисляются: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1. Индивидуальные AUC — интеграл по кривой каждого отдельного животного: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draw_base_graphs.py, skin_reactions_base_grapf.py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individual_aucs = [SupportingFunctions.calculate_auc(curve, common_timepoints)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for curve in interpolated_curves]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2. AUC средней кривой — интеграл по усреднённой кривой группы: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mean_curve = np.nanmean(interpolated_curves, axis=0)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auc_mean = SupportingFunctions.calculate_auc(mean_curve, common_timepoints)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Courier New" w:cs="Courier New" w:eastAsia="Courier New" w:hAnsi="Courier New"/>
          <w:sz w:val="22"/>
          <w:szCs w:val="22"/>
        </w:rPr>
        <w:t xml:space="preserve">numpy.nanmean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используется намеренно: функция игнорирует значения </w:t>
      </w:r>
      <w:r>
        <w:rPr>
          <w:rFonts w:ascii="Courier New" w:cs="Courier New" w:eastAsia="Courier New" w:hAnsi="Courier New"/>
          <w:sz w:val="22"/>
          <w:szCs w:val="22"/>
        </w:rPr>
        <w:t xml:space="preserve">NaN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которые могут возникать при несовпадении временны́х точек у отдельных животных.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3. Стандартная ошибка среднего (SEM) AUC: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auc_sem = np.std(individual_aucs, ddof=1) / np.sqrt(len(individual_aucs))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</w:t>
      </w:r>
      <w:r>
        <w:rPr>
          <w:rFonts w:ascii="Courier New" w:cs="Courier New" w:eastAsia="Courier New" w:hAnsi="Courier New"/>
          <w:sz w:val="22"/>
          <w:szCs w:val="22"/>
        </w:rPr>
        <w:t xml:space="preserve">ddof=1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задаёт несмещённую оценку стандартного отклонения (деление на </w:t>
      </w:r>
      <w:r>
        <w:rPr>
          <w:rFonts w:ascii="Courier New" w:cs="Courier New" w:eastAsia="Courier New" w:hAnsi="Courier New"/>
          <w:sz w:val="22"/>
          <w:szCs w:val="22"/>
        </w:rPr>
        <w:t xml:space="preserve">n−1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SEM используется как планки ошибок на столбчатой диаграмме:</w:t>
      </w:r>
    </w:p>
    <w:p>
      <w:pPr>
        <w:spacing w:after="160" w:before="160"/>
        <w:jc w:val="center"/>
      </w:pPr>
      <m:oMath>
        <m:r>
          <m:t>s = 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undOvr"/>
                  </m:naryPr>
                  <m:sub>
                    <m:r>
                      <m:t>i = 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sSupPr/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AUC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 − </m:t>
                            </m:r>
                            <m:r>
                              <m:t>AUC̅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num>
              <m:den>
                <m:r>
                  <m:t>n − 1</m:t>
                </m:r>
              </m:den>
            </m:f>
          </m:e>
        </m:rad>
        <m:r>
          <m:t>, SEM = </m:t>
        </m:r>
        <m:f>
          <m:num>
            <m:r>
              <m:t>s</m:t>
            </m:r>
          </m:num>
          <m:den>
            <m:rad>
              <m:radPr>
                <m:degHide m:val="1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Интеграция AUC в процесс построения линейных графиков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построении временны́х кривых AUC рассчитывается «на лету» в методе </w:t>
      </w:r>
      <w:r>
        <w:rPr>
          <w:rFonts w:ascii="Courier New" w:cs="Courier New" w:eastAsia="Courier New" w:hAnsi="Courier New"/>
          <w:sz w:val="22"/>
          <w:szCs w:val="22"/>
        </w:rPr>
        <w:t xml:space="preserve">add_plot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класса </w:t>
      </w:r>
      <w:r>
        <w:rPr>
          <w:rFonts w:ascii="Courier New" w:cs="Courier New" w:eastAsia="Courier New" w:hAnsi="Courier New"/>
          <w:sz w:val="22"/>
          <w:szCs w:val="22"/>
        </w:rPr>
        <w:t xml:space="preserve">GraphVisualizer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utils/visualizer.py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add_plot(self, x_data, y_data, params, label,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error_margin=None, calculate_auc=False, ...):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calculate_auc: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auc_value = SupportingFunctions.calculate_auc(y_data, x_data)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self.aucs.append(auc_value)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Флаг </w:t>
      </w:r>
      <w:r>
        <w:rPr>
          <w:rFonts w:ascii="Courier New" w:cs="Courier New" w:eastAsia="Courier New" w:hAnsi="Courier New"/>
          <w:sz w:val="22"/>
          <w:szCs w:val="22"/>
        </w:rPr>
        <w:t xml:space="preserve">calculate_auc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управляется через атрибут </w:t>
      </w:r>
      <w:r>
        <w:rPr>
          <w:rFonts w:ascii="Courier New" w:cs="Courier New" w:eastAsia="Courier New" w:hAnsi="Courier New"/>
          <w:sz w:val="22"/>
          <w:szCs w:val="22"/>
        </w:rPr>
        <w:t xml:space="preserve">use_AUC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объекта-построителя, который устанавливается пользователем через интерфейс программы. Все вычисленные значения накапливаются в списке </w:t>
      </w:r>
      <w:r>
        <w:rPr>
          <w:rFonts w:ascii="Courier New" w:cs="Courier New" w:eastAsia="Courier New" w:hAnsi="Courier New"/>
          <w:sz w:val="22"/>
          <w:szCs w:val="22"/>
        </w:rPr>
        <w:t xml:space="preserve">self.aucs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одному значению на каждую добавленную серию данных (группу или эксперимент).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Масштабирование при отображении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кожных реакций при выводе AUC в легенду применяется деление на масштабный коэффициент: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skin_reactions_base_grapf.py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drawgraph.auc_scale_factor = 100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utils/visualizer.py — при формировании легенды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auc_labels = [f"AUC: {auc / self.auc_scale_factor:.1f}" for auc in self.aucs]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Кожные реакции измеряются в баллах шкалы от 0 до 4, период наблюдения составляет порядка 24 суток. Сырая площадь трапеций имеет порядок 50–100 балл·сут. Деление на 100 приводит отображаемое значение к диапазону 0,5–1,0, удобному для сравнения между группами. Для объёмов опухолей коэффициент равен 1,0 (значение по умолчанию), и AUC отображается без масштабирования.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Проверка нормальности распределения AUC: критерий Шапиро–Уилка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применением параметрических критериев сравнения проверяется, подчиняются ли индивидуальные AUC нормальному закону распределения. Для этого используется критерий Шапиро–Уилка, реализованный в модуле scipy.stats: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utils/visualizer.py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scipy.stats import shapiro as shapiro_test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individual_aucs = [np.trapz(row, time_pts) for row in vols]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_, p = shapiro_test(individual_aucs)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verdict = "норм." if p &gt;= 0.05 else "не норм."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Нулевая гипотеза критерия Шапиро–Уилка: выборка взята из нормально распределённой генеральной совокупности. При </w:t>
      </w:r>
      <w:r>
        <w:rPr>
          <w:rFonts w:ascii="Courier New" w:cs="Courier New" w:eastAsia="Courier New" w:hAnsi="Courier New"/>
          <w:sz w:val="22"/>
          <w:szCs w:val="22"/>
        </w:rPr>
        <w:t xml:space="preserve">p ≥ 0,05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нулевая гипотеза не отвергается. Функция возвращает два значения: тестовую статистику </w:t>
      </w:r>
      <w:r>
        <w:rPr>
          <w:rFonts w:ascii="Courier New" w:cs="Courier New" w:eastAsia="Courier New" w:hAnsi="Courier New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-значение; в программе используется только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-значение. Метод применим только при </w:t>
      </w:r>
      <w:r>
        <w:rPr>
          <w:rFonts w:ascii="Courier New" w:cs="Courier New" w:eastAsia="Courier New" w:hAnsi="Courier New"/>
          <w:sz w:val="22"/>
          <w:szCs w:val="22"/>
        </w:rPr>
        <w:t xml:space="preserve">n ≥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животных в группе; при меньшем размере выборки выводится пометка «н/д (n&lt;3)».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Статистика критерия Шапиро–Уилка вычисляется по формуле:</w:t>
      </w:r>
    </w:p>
    <w:p>
      <w:pPr>
        <w:spacing w:after="160" w:before="160"/>
        <w:jc w:val="center"/>
      </w:pPr>
      <m:oMath>
        <m:r>
          <m:t>W = </m:t>
        </m:r>
        <m:f>
          <m:num>
            <m:sSup>
              <m:sSupPr/>
              <m:e>
                <m:d>
                  <m:dPr/>
                  <m:e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m:t>i = 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sSubPr/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⋅ </m:t>
                        </m:r>
                        <m:sSub>
                          <m:sSubPr/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(i)</m:t>
                            </m:r>
                          </m:sub>
                        </m:sSub>
                      </m:e>
                    </m:nary>
                  </m:e>
                </m:d>
              </m:e>
              <m:sup>
                <m:r>
                  <m:t>2</m:t>
                </m:r>
              </m:sup>
            </m:sSup>
          </m:num>
          <m:den>
            <m:nary>
              <m:naryPr>
                <m:chr m:val="∑"/>
                <m:limLoc m:val="undOvr"/>
              </m:naryPr>
              <m:sub>
                <m:r>
                  <m:t>i = 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 − </m:t>
                        </m:r>
                        <m:r>
                          <m:t>x̅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den>
        </m:f>
      </m:oMath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x₅ᵢ)</w:t>
      </w:r>
      <w:r>
        <w:rPr>
          <w:rFonts w:ascii="Courier New" w:cs="Courier New" w:eastAsia="Courier New" w:hAnsi="Courier New"/>
          <w:sz w:val="22"/>
          <w:szCs w:val="22"/>
        </w:rPr>
        <w:t xml:space="preserve">x_(i)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i-я порядковая статистика выборки, </w:t>
      </w:r>
      <w:r>
        <w:rPr>
          <w:rFonts w:ascii="Courier New" w:cs="Courier New" w:eastAsia="Courier New" w:hAnsi="Courier New"/>
          <w:sz w:val="22"/>
          <w:szCs w:val="22"/>
        </w:rPr>
        <w:t xml:space="preserve">a_i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коэффициенты, вычисляемые на основе математического ожидания и ковариационной матрицы нормального распределения.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 Сравнение AUC между группами: критерий Манна–Уитни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статистического сравнения распределений индивидуальных AUC между экспериментальными группами применяется непараметрический критерий Манна–Уитни–Уилкоксона (</w:t>
      </w:r>
      <w:r>
        <w:rPr>
          <w:rFonts w:ascii="Courier New" w:cs="Courier New" w:eastAsia="Courier New" w:hAnsi="Courier New"/>
          <w:sz w:val="22"/>
          <w:szCs w:val="22"/>
        </w:rPr>
        <w:t xml:space="preserve">scipy.stats.mannwhitneyu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skin_reactions_base_grapf.py, draw_base_graphs.py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scipy.stats import mannwhitneyu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stat, p = mannwhitneyu(group1_aucs, group2_aucs, alternative='two-sided')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непараметрического критерия обусловлен малым объёмом выборок (типично n = 5–10 животных на группу), при котором предположение о нормальности распределения AUC может не выполняться. Результаты теста отображаются как аннотации на столбчатых диаграммах в виде символов значимости (*, ^, # для разных контрольных групп).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Тестовая статистика U вычисляется следующим образом. Пусть первая группа содержит n₁ наблюдений, вторая — n₂. Тогда:</w:t>
      </w:r>
    </w:p>
    <w:p>
      <w:pPr>
        <w:spacing w:after="160" w:before="160"/>
        <w:jc w:val="center"/>
      </w:pPr>
      <m:oMath>
        <m:sSub>
          <m:sSubPr/>
          <m:e>
            <m:r>
              <m:t>U</m:t>
            </m:r>
          </m:e>
          <m:sub>
            <m:r>
              <m:t>1</m:t>
            </m:r>
          </m:sub>
        </m:sSub>
        <m:r>
          <m:t> = </m:t>
        </m:r>
        <m:sSub>
          <m:sSubPr/>
          <m:e>
            <m:r>
              <m:t>n</m:t>
            </m:r>
          </m:e>
          <m:sub>
            <m:r>
              <m:t>1</m:t>
            </m:r>
          </m:sub>
        </m:sSub>
        <m:r>
          <m:t> · </m:t>
        </m:r>
        <m:sSub>
          <m:sSubPr/>
          <m:e>
            <m:r>
              <m:t>n</m:t>
            </m:r>
          </m:e>
          <m:sub>
            <m:r>
              <m:t>2</m:t>
            </m:r>
          </m:sub>
        </m:sSub>
        <m:r>
          <m:t> + 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1</m:t>
                </m:r>
              </m:sub>
            </m:sSub>
            <m:d>
              <m:dPr/>
              <m:e>
                <m:sSub>
                  <m:sSubPr/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t> + 1</m:t>
                </m:r>
              </m:e>
            </m:d>
          </m:num>
          <m:den>
            <m:r>
              <m:t>2</m:t>
            </m:r>
          </m:den>
        </m:f>
        <m:r>
          <m:t> − </m:t>
        </m:r>
        <m:sSub>
          <m:sSubPr/>
          <m:e>
            <m:r>
              <m:t>R</m:t>
            </m:r>
          </m:e>
          <m:sub>
            <m:r>
              <m:t>1</m:t>
            </m:r>
          </m:sub>
        </m:sSub>
      </m:oMath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</w:t>
      </w:r>
      <w:r>
        <w:rPr>
          <w:rFonts w:ascii="Courier New" w:cs="Courier New" w:eastAsia="Courier New" w:hAnsi="Courier New"/>
          <w:sz w:val="22"/>
          <w:szCs w:val="22"/>
        </w:rPr>
        <w:t xml:space="preserve">R₁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сумма рангов наблюдений первой группы в объединённой упорядоченной выборке. Итоговая статистика: </w:t>
      </w:r>
      <w:r>
        <w:rPr>
          <w:rFonts w:ascii="Courier New" w:cs="Courier New" w:eastAsia="Courier New" w:hAnsi="Courier New"/>
          <w:sz w:val="22"/>
          <w:szCs w:val="22"/>
        </w:rPr>
        <w:t xml:space="preserve">U = min(U₁, U₂)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достаточно большом объёме выборки статистика U приближённо нормально распределена.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2.9. Визуализация AUC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реализует два типа представления AUC.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1. Легенда на линейном графике — после построения временны́х кривых значения AUC выводятся в отдельный блок легенды (метод </w:t>
      </w:r>
      <w:r>
        <w:rPr>
          <w:rFonts w:ascii="Courier New" w:cs="Courier New" w:eastAsia="Courier New" w:hAnsi="Courier New"/>
          <w:sz w:val="22"/>
          <w:szCs w:val="22"/>
        </w:rPr>
        <w:t xml:space="preserve">finalize_figure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utils/visualizer.py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auc_legend = plt.legend(handles=self.lines, labels=auc_labels,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title="Площадь под кривой", loc='upper right')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ax.add_artist(auc_legend)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2. Столбчатая диаграмма AUC — самостоятельный тип графика, отображающий зависимость суммарной AUC от суммарной дозы облучения. Высота столбика соответствует AUC средней кривой группы, планки ошибок — SEM по индивидуальным AUC. Группы автоматически упорядочиваются по возрастанию дозы. Числовые значения AUC дублируются подписями над столбиками: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bars = plt.bar(doses, aucs_for_fit, yerr=errors_for_fit,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width=bar_width, edgecolor="black", capsize=8)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plt.text(bar.get_x() + bar.get_width() / 2, y_text,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f"{auc / 100:.1f}", ha='center', fontweight='bold')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2.10. Схема взаимодействия компонентов</w:t>
      </w:r>
    </w:p>
    <w:p>
      <w:p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рисунке ниже представлена обобщённая схема потока данных при расчёте AUC.</w:t>
      </w:r>
    </w:p>
    <w:p>
      <w:pPr>
        <w:spacing w:after="6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55"/>
      </w:tblGrid>
      <w:tr>
        <w:tc>
          <w:tcPr>
            <w:tcW w:type="dxa" w:w="93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Исходные данные (Excel):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время [t₀, t₁, …, tₙ]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значения каждого животного [y¹, y², …, yᵏ]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│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▼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Интерполяция к единой сетке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numpy.interp()      ──  кожные реакции (0–24 сут, шаг 1)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set.intersection()  ──  опухоли (общие точки всех животных)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│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▼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Индивидуальные AUC:  numpy.trapz(yᴵ, x)  для каждого животного i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│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┌─────┤────────────────────────────┐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                              │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▼                                ▼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Проверка нормальности       Средняя кривая + AUC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scipy.stats.shapiro()       numpy.nanmean() → trapz()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↓ p-значение                ↓ auc_mean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норм. / не норм.            SEM = std(ddof=1) / sqrt(n)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                              │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▼                                ▼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Выбор критерия              Столбчатая диаграмма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сравнения                   AUC / 100 (кожные реакции)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                       plt.bar(height=auc_mean, yerr=SEM)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scipy.stats.mannwhitneyu()</w:t>
            </w:r>
          </w:p>
          <w:p>
            <w:pPr>
              <w:spacing w:after="0" w:before="0" w:line="220" w:lineRule="exac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Аннотации значимости на графике</w:t>
            </w:r>
          </w:p>
        </w:tc>
      </w:tr>
    </w:tbl>
    <w:p>
      <w:pPr>
        <w:spacing w:after="60" w:before="0"/>
      </w:pPr>
      <w:r>
        <w:t xml:space="preserve"/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 w:lineRule="auto"/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2026-06-03T09:37:44.916Z</dcterms:created>
  <dcterms:modified xsi:type="dcterms:W3CDTF">2026-06-03T09:37:44.918Z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