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center"/>
      </w:pPr>
      <w:r>
        <w:rPr>
          <w:b/>
          <w:color w:val="0B2545"/>
          <w:sz w:val="56"/>
        </w:rPr>
        <w:t>General Process</w:t>
      </w:r>
    </w:p>
    <w:p>
      <w:pPr>
        <w:spacing w:after="440"/>
        <w:jc w:val="center"/>
      </w:pPr>
      <w:r>
        <w:rPr>
          <w:color w:val="2E74B5"/>
          <w:sz w:val="32"/>
        </w:rPr>
        <w:t>MolDockPipe Redux Virtual Screening and Receptor-Validation Workflow</w:t>
      </w:r>
    </w:p>
    <w:p>
      <w:pPr>
        <w:spacing w:after="600"/>
        <w:jc w:val="center"/>
      </w:pPr>
      <w:r>
        <w:rPr>
          <w:i/>
          <w:color w:val="606A74"/>
          <w:sz w:val="20"/>
        </w:rPr>
        <w:t>Methodological description | Revised 19 July 2026</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pPr>
              <w:spacing w:after="0" w:line="240" w:lineRule="auto"/>
            </w:pPr>
            <w:r>
              <w:rPr>
                <w:rFonts w:ascii="Calibri" w:hAnsi="Calibri"/>
                <w:b/>
                <w:color w:val="1F4D78"/>
                <w:sz w:val="18"/>
              </w:rPr>
              <w:t>Document purpose</w:t>
            </w:r>
          </w:p>
        </w:tc>
        <w:tc>
          <w:tcPr>
            <w:tcW w:type="dxa" w:w="6660"/>
            <w:shd w:fill="F2F4F7"/>
            <w:tcMar>
              <w:top w:w="80" w:type="dxa"/>
              <w:start w:w="120" w:type="dxa"/>
              <w:bottom w:w="80" w:type="dxa"/>
              <w:end w:w="120" w:type="dxa"/>
            </w:tcMar>
            <w:vAlign w:val="center"/>
          </w:tcPr>
          <w:p>
            <w:pPr>
              <w:spacing w:after="0" w:line="240" w:lineRule="auto"/>
            </w:pPr>
            <w:r>
              <w:rPr>
                <w:rFonts w:ascii="Calibri" w:hAnsi="Calibri"/>
                <w:b/>
                <w:color w:val="1F4D78"/>
                <w:sz w:val="18"/>
              </w:rPr>
              <w:t>Scope</w:t>
            </w:r>
          </w:p>
        </w:tc>
      </w:tr>
      <w:tr>
        <w:tc>
          <w:tcPr>
            <w:tcW w:type="dxa" w:w="2700"/>
            <w:tcMar>
              <w:top w:w="80" w:type="dxa"/>
              <w:start w:w="120" w:type="dxa"/>
              <w:bottom w:w="80" w:type="dxa"/>
              <w:end w:w="120" w:type="dxa"/>
            </w:tcMar>
            <w:vAlign w:val="center"/>
          </w:tcPr>
          <w:p>
            <w:pPr>
              <w:spacing w:after="0" w:line="240" w:lineRule="auto"/>
            </w:pPr>
            <w:r>
              <w:rPr>
                <w:rFonts w:ascii="Calibri" w:hAnsi="Calibri"/>
                <w:sz w:val="18"/>
              </w:rPr>
              <w:t>Process specification</w:t>
            </w:r>
          </w:p>
        </w:tc>
        <w:tc>
          <w:tcPr>
            <w:tcW w:type="dxa" w:w="6660"/>
            <w:tcMar>
              <w:top w:w="80" w:type="dxa"/>
              <w:start w:w="120" w:type="dxa"/>
              <w:bottom w:w="80" w:type="dxa"/>
              <w:end w:w="120" w:type="dxa"/>
            </w:tcMar>
            <w:vAlign w:val="center"/>
          </w:tcPr>
          <w:p>
            <w:pPr>
              <w:spacing w:after="0" w:line="240" w:lineRule="auto"/>
            </w:pPr>
            <w:r>
              <w:rPr>
                <w:rFonts w:ascii="Calibri" w:hAnsi="Calibri"/>
                <w:sz w:val="18"/>
              </w:rPr>
              <w:t>Project initialization, ligand processing, receptor preparation, molecular docking, validation, export, reporting, and reproducibility controls</w:t>
            </w:r>
          </w:p>
        </w:tc>
      </w:tr>
    </w:tbl>
    <w:p>
      <w:pPr>
        <w:spacing w:after="0"/>
      </w:pPr>
    </w:p>
    <w:p>
      <w:pPr>
        <w:spacing w:before="400" w:after="0"/>
        <w:jc w:val="center"/>
      </w:pPr>
      <w:r>
        <w:rPr>
          <w:i/>
          <w:sz w:val="20"/>
        </w:rPr>
        <w:t>This revision describes the current Redux architecture. Legacy scripts retained in the Reference directory are not part of the operational workflow.</w:t>
      </w:r>
    </w:p>
    <w:p>
      <w:r>
        <w:br w:type="page"/>
      </w:r>
    </w:p>
    <w:p>
      <w:pPr>
        <w:pStyle w:val="Heading1"/>
      </w:pPr>
      <w:r>
        <w:t>1. Purpose and methodological scope</w:t>
      </w:r>
    </w:p>
    <w:p>
      <w:r>
        <w:t>MolDockPipe Redux is a desktop-based, provenance-oriented workflow for structure-based virtual screening. The system separates submitted parent ligands, generated molecular states, prepared docking inputs, receptor-specific docking runs, individual poses, and exported scientific artifacts. This separation is intended to maintain interpretability when one parent compound produces multiple protonation or tautomeric states and when the same state is evaluated against multiple receptor profiles.</w:t>
      </w:r>
    </w:p>
    <w:p>
      <w:r>
        <w:t>The principal analytical sequence is ligand screening, molecular-state generation, ligand preparation, receptor-specific docking, and selective post-docking export. Receptor preparation and redocking validation are associated workflows that establish and assess receptor profiles before or alongside production docking. All stages are executed through the Redux application services; the scripts in the legacy Reference directory serve only as behavioral references.</w:t>
      </w:r>
    </w:p>
    <w:p>
      <w:pPr>
        <w:pStyle w:val="Heading1"/>
      </w:pPr>
      <w:r>
        <w:t>2. Workflow overview</w:t>
      </w:r>
    </w:p>
    <w:tbl>
      <w:tblPr>
        <w:tblStyle w:val="TableGrid"/>
        <w:tblW w:type="dxa" w:w="9360"/>
        <w:tblLayout w:type="fixed"/>
        <w:tblLook w:firstColumn="1" w:firstRow="1" w:lastColumn="0" w:lastRow="0" w:noHBand="0" w:noVBand="1" w:val="04A0"/>
        <w:tblInd w:w="120" w:type="dxa"/>
      </w:tblPr>
      <w:tblGrid>
        <w:gridCol w:w="1550"/>
        <w:gridCol w:w="4790"/>
        <w:gridCol w:w="3020"/>
      </w:tblGrid>
      <w:tr>
        <w:trPr>
          <w:tblHeader w:val="true"/>
        </w:trPr>
        <w:tc>
          <w:tcPr>
            <w:tcW w:type="dxa" w:w="1550"/>
            <w:shd w:fill="F2F4F7"/>
            <w:tcMar>
              <w:top w:w="80" w:type="dxa"/>
              <w:start w:w="120" w:type="dxa"/>
              <w:bottom w:w="80" w:type="dxa"/>
              <w:end w:w="120" w:type="dxa"/>
            </w:tcMar>
            <w:vAlign w:val="center"/>
          </w:tcPr>
          <w:p>
            <w:pPr>
              <w:spacing w:after="0" w:line="240" w:lineRule="auto"/>
            </w:pPr>
            <w:r>
              <w:rPr>
                <w:rFonts w:ascii="Calibri" w:hAnsi="Calibri"/>
                <w:b/>
                <w:color w:val="1F4D78"/>
                <w:sz w:val="18"/>
              </w:rPr>
              <w:t>Phase</w:t>
            </w:r>
          </w:p>
        </w:tc>
        <w:tc>
          <w:tcPr>
            <w:tcW w:type="dxa" w:w="4790"/>
            <w:shd w:fill="F2F4F7"/>
            <w:tcMar>
              <w:top w:w="80" w:type="dxa"/>
              <w:start w:w="120" w:type="dxa"/>
              <w:bottom w:w="80" w:type="dxa"/>
              <w:end w:w="120" w:type="dxa"/>
            </w:tcMar>
            <w:vAlign w:val="center"/>
          </w:tcPr>
          <w:p>
            <w:pPr>
              <w:spacing w:after="0" w:line="240" w:lineRule="auto"/>
            </w:pPr>
            <w:r>
              <w:rPr>
                <w:rFonts w:ascii="Calibri" w:hAnsi="Calibri"/>
                <w:b/>
                <w:color w:val="1F4D78"/>
                <w:sz w:val="18"/>
              </w:rPr>
              <w:t>Primary operation</w:t>
            </w:r>
          </w:p>
        </w:tc>
        <w:tc>
          <w:tcPr>
            <w:tcW w:type="dxa" w:w="3020"/>
            <w:shd w:fill="F2F4F7"/>
            <w:tcMar>
              <w:top w:w="80" w:type="dxa"/>
              <w:start w:w="120" w:type="dxa"/>
              <w:bottom w:w="80" w:type="dxa"/>
              <w:end w:w="120" w:type="dxa"/>
            </w:tcMar>
            <w:vAlign w:val="center"/>
          </w:tcPr>
          <w:p>
            <w:pPr>
              <w:spacing w:after="0" w:line="240" w:lineRule="auto"/>
            </w:pPr>
            <w:r>
              <w:rPr>
                <w:rFonts w:ascii="Calibri" w:hAnsi="Calibri"/>
                <w:b/>
                <w:color w:val="1F4D78"/>
                <w:sz w:val="18"/>
              </w:rPr>
              <w:t>Principal output</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Project definition</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Create or open a portable project and synchronize the ligand CSV.</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Validated active parent-ligand set and project metadata</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Receptor definition</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Import a prepared receptor or prepare a receptor profile from a structure file.</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Versioned receptor profile, docking box, and receptor PDBQT</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Ligand screening</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Compute RDKit descriptors and apply the configured decision policy.</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Screening annotations and eligibility decision</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State generation</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Enumerate chemically relevant molecular states with MolScrub.</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State-specific three-dimensional SDF conformers</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Ligand preparation</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Convert each retained state to PDBQT with Meeko and validate the result.</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Validated ligand PDBQT artifacts</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Docking</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Dock every prepared state against every enabled receptor profile with AutoDock Vina.</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Receptor-state runs, scored poses, logs, and provenance</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Validation</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Optionally redock a crystallographic reference ligand through a resumable six-stage process.</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Pose SDF/MOL2 files and a validation transformation manifest</w:t>
            </w:r>
          </w:p>
        </w:tc>
      </w:tr>
      <w:tr>
        <w:tc>
          <w:tcPr>
            <w:tcW w:type="dxa" w:w="1550"/>
            <w:tcMar>
              <w:top w:w="80" w:type="dxa"/>
              <w:start w:w="120" w:type="dxa"/>
              <w:bottom w:w="80" w:type="dxa"/>
              <w:end w:w="120" w:type="dxa"/>
            </w:tcMar>
            <w:vAlign w:val="center"/>
          </w:tcPr>
          <w:p>
            <w:pPr>
              <w:spacing w:after="0" w:line="240" w:lineRule="auto"/>
            </w:pPr>
            <w:r>
              <w:rPr>
                <w:rFonts w:ascii="Calibri" w:hAnsi="Calibri"/>
                <w:sz w:val="18"/>
              </w:rPr>
              <w:t>Export and reporting</w:t>
            </w:r>
          </w:p>
        </w:tc>
        <w:tc>
          <w:tcPr>
            <w:tcW w:type="dxa" w:w="4790"/>
            <w:tcMar>
              <w:top w:w="80" w:type="dxa"/>
              <w:start w:w="120" w:type="dxa"/>
              <w:bottom w:w="80" w:type="dxa"/>
              <w:end w:w="120" w:type="dxa"/>
            </w:tcMar>
            <w:vAlign w:val="center"/>
          </w:tcPr>
          <w:p>
            <w:pPr>
              <w:spacing w:after="0" w:line="240" w:lineRule="auto"/>
            </w:pPr>
            <w:r>
              <w:rPr>
                <w:rFonts w:ascii="Calibri" w:hAnsi="Calibri"/>
                <w:sz w:val="18"/>
              </w:rPr>
              <w:t>Select successful compounds and generate molecular, tabular, and HTML outputs.</w:t>
            </w:r>
          </w:p>
        </w:tc>
        <w:tc>
          <w:tcPr>
            <w:tcW w:type="dxa" w:w="3020"/>
            <w:tcMar>
              <w:top w:w="80" w:type="dxa"/>
              <w:start w:w="120" w:type="dxa"/>
              <w:bottom w:w="80" w:type="dxa"/>
              <w:end w:w="120" w:type="dxa"/>
            </w:tcMar>
            <w:vAlign w:val="center"/>
          </w:tcPr>
          <w:p>
            <w:pPr>
              <w:spacing w:after="0" w:line="240" w:lineRule="auto"/>
            </w:pPr>
            <w:r>
              <w:rPr>
                <w:rFonts w:ascii="Calibri" w:hAnsi="Calibri"/>
                <w:sz w:val="18"/>
              </w:rPr>
              <w:t>Post-docking folders, manifest, leaderboard, and project report</w:t>
            </w:r>
          </w:p>
        </w:tc>
      </w:tr>
    </w:tbl>
    <w:p>
      <w:pPr>
        <w:spacing w:after="0"/>
      </w:pPr>
    </w:p>
    <w:p>
      <w:pPr>
        <w:pStyle w:val="Heading1"/>
      </w:pPr>
      <w:r>
        <w:t>3. Project initialization and ligand-data governance</w:t>
      </w:r>
    </w:p>
    <w:p>
      <w:r>
        <w:t>A project is created beneath the application project directory or at an explicitly selected location. Its project.yml file stores workflow settings and receptor profiles, while the project database records entities, stage states, artifacts, hashes, tool information, and provenance events. The default ligand source is inputs/input.csv, with the required columns id and smiles and the optional columns notes and params_json.</w:t>
      </w:r>
    </w:p>
    <w:p>
      <w:r>
        <w:t>The id field is treated as a stable parent-ligand identifier. Before synchronization, the complete input is validated; rows lacking identifiers or SMILES values, duplicate identifiers, and empty datasets are rejected without modifying the project. Synchronization is incremental. Unchanged records retain their valid downstream results, newly observed identifiers enter the workflow as pending, modified records invalidate their active downstream results and are reprocessed from screening, and records removed from the input are archived rather than deleted.</w:t>
      </w:r>
    </w:p>
    <w:p>
      <w:pPr>
        <w:pStyle w:val="Heading1"/>
      </w:pPr>
      <w:r>
        <w:t>4. Receptor profile establishment</w:t>
      </w:r>
    </w:p>
    <w:p>
      <w:r>
        <w:t>Each docking target is represented as an independently configurable receptor profile. A profile contains the prepared receptor path, search-space center and dimensions, Vina parameters, activation state, and, where available, information describing a crystallographic reference ligand. Multiple profiles may be enabled simultaneously; they are evaluated sequentially against the same set of prepared ligand states.</w:t>
      </w:r>
    </w:p>
    <w:p>
      <w:pPr>
        <w:pStyle w:val="Heading2"/>
      </w:pPr>
      <w:r>
        <w:t>4.1 Receptor preparation</w:t>
      </w:r>
    </w:p>
    <w:p>
      <w:pPr>
        <w:keepNext/>
      </w:pPr>
      <w:r>
        <w:rPr>
          <w:b/>
          <w:color w:val="1F4D78"/>
        </w:rPr>
        <w:t>1. Structure analysis</w:t>
      </w:r>
    </w:p>
    <w:p>
      <w:pPr>
        <w:ind w:left="360"/>
      </w:pPr>
      <w:r>
        <w:t>The input PDB or mmCIF structure is read with Gemmi. Models, chains, protein residues, water molecules, ions, cofactors, candidate ligands, alternate locations, and potentially incomplete residues are characterized before modification.</w:t>
      </w:r>
    </w:p>
    <w:p>
      <w:pPr>
        <w:keepNext/>
      </w:pPr>
      <w:r>
        <w:rPr>
          <w:b/>
          <w:color w:val="1F4D78"/>
        </w:rPr>
        <w:t>2. Composition definition</w:t>
      </w:r>
    </w:p>
    <w:p>
      <w:pPr>
        <w:ind w:left="360"/>
      </w:pPr>
      <w:r>
        <w:t>The operator selects the structural model and receptor chains, identifies removable components, specifies any receptor-associated nonstandard residues to retain, and may designate a reference ligand. The preparation plan is validated before files are written.</w:t>
      </w:r>
    </w:p>
    <w:p>
      <w:pPr>
        <w:keepNext/>
      </w:pPr>
      <w:r>
        <w:rPr>
          <w:b/>
          <w:color w:val="1F4D78"/>
        </w:rPr>
        <w:t>3. Docking-box definition</w:t>
      </w:r>
    </w:p>
    <w:p>
      <w:pPr>
        <w:ind w:left="360"/>
      </w:pPr>
      <w:r>
        <w:t>The search space is defined from selected atoms or explicit coordinates. The workflow supports an atom envelope with padding and a radius-of-gyration-derived box, followed by operator review of the center and dimensions.</w:t>
      </w:r>
    </w:p>
    <w:p>
      <w:pPr>
        <w:keepNext/>
      </w:pPr>
      <w:r>
        <w:rPr>
          <w:b/>
          <w:color w:val="1F4D78"/>
        </w:rPr>
        <w:t>4. Chemistry-aware extraction</w:t>
      </w:r>
    </w:p>
    <w:p>
      <w:pPr>
        <w:ind w:left="360"/>
      </w:pPr>
      <w:r>
        <w:t>A cleaned receptor structure and, when selected, a reference-ligand structure are written. The reference ligand is assigned chemistry using the available template or inferred representation, with atom mapping and coordinate preservation documented.</w:t>
      </w:r>
    </w:p>
    <w:p>
      <w:pPr>
        <w:keepNext/>
      </w:pPr>
      <w:r>
        <w:rPr>
          <w:b/>
          <w:color w:val="1F4D78"/>
        </w:rPr>
        <w:t>5. Meeko preparation and validation</w:t>
      </w:r>
    </w:p>
    <w:p>
      <w:pPr>
        <w:ind w:left="360"/>
      </w:pPr>
      <w:r>
        <w:t>Meeko prepares the receptor PDBQT. The workflow verifies that the output is nonempty and contains receptor atoms, records the command, configuration, analysis snapshot, preparation manifest, and file hashes, and registers the resulting profile in the project.</w:t>
      </w:r>
    </w:p>
    <w:p>
      <w:pPr>
        <w:pStyle w:val="Heading2"/>
      </w:pPr>
      <w:r>
        <w:t>4.2 Receptor-profile controls</w:t>
      </w:r>
    </w:p>
    <w:p>
      <w:r>
        <w:t>For each profile, the operator may configure exhaustiveness, number of modes, energy range, random seed, CPU allocation, and activation state. Profile-specific parameters are incorporated into the docking fingerprint. Consequently, a receptor or parameter change produces a distinct current run rather than silently reusing an incompatible result.</w:t>
      </w:r>
    </w:p>
    <w:p>
      <w:pPr>
        <w:pStyle w:val="Heading1"/>
      </w:pPr>
      <w:r>
        <w:t>5. Ligand-processing sequence</w:t>
      </w:r>
    </w:p>
    <w:p>
      <w:pPr>
        <w:pStyle w:val="Heading2"/>
      </w:pPr>
      <w:r>
        <w:t>5.1 Physicochemical screening</w:t>
      </w:r>
    </w:p>
    <w:p>
      <w:r>
        <w:t>RDKit parses and canonicalizes each active parent SMILES, assigns an InChIKey where possible, computes the configured physicochemical descriptors, and evaluates the enabled Lipinski, Veber, Egan, Ghose, and BOILED-Egg rules. The default policy is annotation only, under which rule outcomes are retained without excluding a parseable compound. Alternative policies may exclude compounds that fail any or all selected rules or direct them to manual review. The screening fingerprint incorporates the source SMILES, rule configuration, decision policy, and RDKit version.</w:t>
      </w:r>
    </w:p>
    <w:p>
      <w:pPr>
        <w:pStyle w:val="Heading2"/>
      </w:pPr>
      <w:r>
        <w:t>5.2 Molecular-state generation</w:t>
      </w:r>
    </w:p>
    <w:p>
      <w:r>
        <w:t>MolScrub generates protonation and tautomeric states at the configured pH, subject to the state-enumeration setting and maximum-state limit. Eligibility follows the screening decision unless annotation-only screening is in effect. Each generated structure receives a state identifier derived from the parent identifier and a structure hash. A three-dimensional SDF conformer is stored separately for each state, together with charge, tautomer and protomer indices, generation fingerprint, and a flag indicating whether enumeration was truncated.</w:t>
      </w:r>
    </w:p>
    <w:p>
      <w:pPr>
        <w:pStyle w:val="Heading2"/>
      </w:pPr>
      <w:r>
        <w:t>5.3 Ligand PDBQT preparation</w:t>
      </w:r>
    </w:p>
    <w:p>
      <w:r>
        <w:t>Meeko converts every retained SDF state into a state-specific ligand PDBQT. Preparations are distributed across the configured worker pool, whereas each result remains independently attributable to its parent, molecular state, and conformer. The generated PDBQT is subjected to structural validation before the corresponding state is marked ready for docking. Preparation logs and PDBQT files are registered as hashed project artifacts; failures are retained with an explicit reason and do not erase successful states.</w:t>
      </w:r>
    </w:p>
    <w:p>
      <w:pPr>
        <w:pStyle w:val="Heading1"/>
      </w:pPr>
      <w:r>
        <w:t>6. Multi-receptor docking</w:t>
      </w:r>
    </w:p>
    <w:p>
      <w:r>
        <w:t>Production docking is formulated as the Cartesian product of all active, Meeko-prepared molecular states and all enabled receptor profiles. AutoDock Vina receives the profile-specific receptor, search box, exhaustiveness, number of modes, energy range, seed, and CPU allocation. A campaign record captures the participating profiles, prepared-state count, requested number of dockings, Vina executable path, and executable hash.</w:t>
      </w:r>
    </w:p>
    <w:p>
      <w:r>
        <w:br w:type="page"/>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pPr>
              <w:spacing w:after="0" w:line="240" w:lineRule="auto"/>
            </w:pPr>
            <w:r>
              <w:rPr>
                <w:rFonts w:ascii="Calibri" w:hAnsi="Calibri"/>
                <w:b/>
                <w:color w:val="1F4D78"/>
                <w:sz w:val="18"/>
              </w:rPr>
              <w:t>Control</w:t>
            </w:r>
          </w:p>
        </w:tc>
        <w:tc>
          <w:tcPr>
            <w:tcW w:type="dxa" w:w="7160"/>
            <w:shd w:fill="F2F4F7"/>
            <w:tcMar>
              <w:top w:w="80" w:type="dxa"/>
              <w:start w:w="120" w:type="dxa"/>
              <w:bottom w:w="80" w:type="dxa"/>
              <w:end w:w="120" w:type="dxa"/>
            </w:tcMar>
            <w:vAlign w:val="center"/>
          </w:tcPr>
          <w:p>
            <w:pPr>
              <w:spacing w:after="0" w:line="240" w:lineRule="auto"/>
            </w:pPr>
            <w:r>
              <w:rPr>
                <w:rFonts w:ascii="Calibri" w:hAnsi="Calibri"/>
                <w:b/>
                <w:color w:val="1F4D78"/>
                <w:sz w:val="18"/>
              </w:rPr>
              <w:t>Redux behavior</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Run identity</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Each receptor-state evaluation receives a unique run identifier and artifact directory.</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Current-result semantics</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When a new run becomes current, earlier runs for the same receptor-state pair are retained but marked noncurrent.</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Reuse</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A completed run is reused only when the receptor, settings fingerprint, executable identity, and required output artifacts match.</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Pose recording</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Every parsed Vina mode is stored with affinity and lower/upper RMSD bounds; the most favorable affinity is marked as the best pose for the state.</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Failure handling</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Missing receptors, execution errors, and outputs without valid poses are recorded as failures with explicit reasons.</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Traceability</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Commands, settings, receptor identity, workflow run, hashes, logs, and output artifacts remain linked in the project database.</w:t>
            </w:r>
          </w:p>
        </w:tc>
      </w:tr>
    </w:tbl>
    <w:p>
      <w:pPr>
        <w:spacing w:after="0"/>
      </w:pPr>
    </w:p>
    <w:p>
      <w:pPr>
        <w:pStyle w:val="Heading1"/>
      </w:pPr>
      <w:r>
        <w:t>7. Receptor redocking validation</w:t>
      </w:r>
    </w:p>
    <w:p>
      <w:r>
        <w:t>Redocking validation is available when a receptor profile includes a valid prepared receptor and an adequately mapped crystallographic reference ligand. Validation jobs are managed by a persistent queue and are resumable at the stage level. The workflow prepares the reference ligand independently from the production ligand set and does not report a DockRMSD value internally; instead, it produces standardized heavy-atom MOL2 inputs for external DockRMSD analysis.</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pPr>
              <w:spacing w:after="0" w:line="240" w:lineRule="auto"/>
            </w:pPr>
            <w:r>
              <w:rPr>
                <w:rFonts w:ascii="Calibri" w:hAnsi="Calibri"/>
                <w:b/>
                <w:color w:val="1F4D78"/>
                <w:sz w:val="18"/>
              </w:rPr>
              <w:t>Stage</w:t>
            </w:r>
          </w:p>
        </w:tc>
        <w:tc>
          <w:tcPr>
            <w:tcW w:type="dxa" w:w="7160"/>
            <w:shd w:fill="F2F4F7"/>
            <w:tcMar>
              <w:top w:w="80" w:type="dxa"/>
              <w:start w:w="120" w:type="dxa"/>
              <w:bottom w:w="80" w:type="dxa"/>
              <w:end w:w="120" w:type="dxa"/>
            </w:tcMar>
            <w:vAlign w:val="center"/>
          </w:tcPr>
          <w:p>
            <w:pPr>
              <w:spacing w:after="0" w:line="240" w:lineRule="auto"/>
            </w:pPr>
            <w:r>
              <w:rPr>
                <w:rFonts w:ascii="Calibri" w:hAnsi="Calibri"/>
                <w:b/>
                <w:color w:val="1F4D78"/>
                <w:sz w:val="18"/>
              </w:rPr>
              <w:t>Methodological operation</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Reference validation</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Validate the immutable reference SDF and MOL2 and confirm that the stored heavy-atom mapping is complete.</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Ligand preparation</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Add hydrogens while preserving heavy-atom coordinates, prepare PDBQT with Meeko, and record the command and tool version.</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Vina redocking</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Dock the prepared reference ligand using the receptor profile's box and the validation-specific Vina settings.</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Pose export</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Export all scored poses to SDF and annotate each structure with rank, affinity, receptor profile, run identifier, seed, box, and source PDBQT.</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MOL2 generation</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Map pose graphs to the reference atom order and generate heavy-atom MOL2 files, including a top-ranked-pose convenience copy.</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Final validation</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Confirm artifact completeness, record hashes and pose rows, and write validation and transformation manifests.</w:t>
            </w:r>
          </w:p>
        </w:tc>
      </w:tr>
    </w:tbl>
    <w:p>
      <w:pPr>
        <w:spacing w:after="0"/>
      </w:pPr>
    </w:p>
    <w:p>
      <w:r>
        <w:t>A stage is reused only when its fingerprint and expected artifacts remain valid. Interrupted jobs return to the queue and resume from reusable stages when the project is reopened. Cancellation, interruption, and stage-specific errors are recorded explicitly.</w:t>
      </w:r>
    </w:p>
    <w:p>
      <w:pPr>
        <w:pStyle w:val="Heading1"/>
      </w:pPr>
      <w:r>
        <w:t>8. Post-docking selection and export</w:t>
      </w:r>
    </w:p>
    <w:p>
      <w:r>
        <w:t>Post-docking processing is initiated only after the operator selects successfully docked parent compounds. Candidates are ordered by their most favorable receptor-associated affinity, and compounds already exported are identified to prevent redundant selection. The configured export mode may split the Vina multi-model output into pose-specific PDBQT files, convert split poses to SDF, or convert the multi-pose output directly to SDF. The number of exported poses is bounded by the configured per-compound limit.</w:t>
      </w:r>
    </w:p>
    <w:p>
      <w:r>
        <w:t>Outputs are partitioned first by receptor profile and then by parent ligand, molecular state, and docking run. Each receptor-specific export also includes a receptor PDB derived preferentially from the Meeko-prepared receptor PDB, with a conversion fallback from PDBQT. When a completed redocking validation is available, its heavy-atom reference-ligand MOL2 is copied into the receptor export as a validation standard. Its absence is recorded as a provenance warning rather than being represented as a completed validation.</w:t>
      </w:r>
    </w:p>
    <w:p>
      <w:pPr>
        <w:pStyle w:val="Heading1"/>
      </w:pPr>
      <w:r>
        <w:t>9. Results, tabular exports, and reporting</w:t>
      </w:r>
    </w:p>
    <w:p>
      <w:r>
        <w:t>The results interface presents a ranked view for each receptor profile, thereby preventing affinities from different targets from being conflated. Manifest export produces combined and receptor-specific CSV files containing receptor identity, reproducibility hashes, run identifiers, ligand and state identifiers, settings, command information, pose counts, and artifact paths. Leaderboard export similarly produces combined and receptor-specific files containing the three most favorable poses per parent compound for each receptor, ordered by increasingly favorable affinity.</w:t>
      </w:r>
    </w:p>
    <w:p>
      <w:r>
        <w:t>The project-report function generates an HTML summary and associated provenance files from a bounded snapshot of the structured project database. The report incorporates project scope, receptor-preparation and redocking status, docking completion and score statistics, failures, tool versions, hashes, and methodological limitations. Report generation does not alter the underlying analytical results.</w:t>
      </w:r>
    </w:p>
    <w:p>
      <w:pPr>
        <w:pStyle w:val="Heading1"/>
      </w:pPr>
      <w:r>
        <w:t>10. Reproducibility, resumability, and quality controls</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pPr>
              <w:spacing w:after="0" w:line="240" w:lineRule="auto"/>
            </w:pPr>
            <w:r>
              <w:rPr>
                <w:rFonts w:ascii="Calibri" w:hAnsi="Calibri"/>
                <w:b/>
                <w:color w:val="1F4D78"/>
                <w:sz w:val="18"/>
              </w:rPr>
              <w:t>Principle</w:t>
            </w:r>
          </w:p>
        </w:tc>
        <w:tc>
          <w:tcPr>
            <w:tcW w:type="dxa" w:w="7160"/>
            <w:shd w:fill="F2F4F7"/>
            <w:tcMar>
              <w:top w:w="80" w:type="dxa"/>
              <w:start w:w="120" w:type="dxa"/>
              <w:bottom w:w="80" w:type="dxa"/>
              <w:end w:w="120" w:type="dxa"/>
            </w:tcMar>
            <w:vAlign w:val="center"/>
          </w:tcPr>
          <w:p>
            <w:pPr>
              <w:spacing w:after="0" w:line="240" w:lineRule="auto"/>
            </w:pPr>
            <w:r>
              <w:rPr>
                <w:rFonts w:ascii="Calibri" w:hAnsi="Calibri"/>
                <w:b/>
                <w:color w:val="1F4D78"/>
                <w:sz w:val="18"/>
              </w:rPr>
              <w:t>Implementation</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Stable identity</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Parent, state, receptor, run, pose, and artifact identifiers are maintained as distinct entities.</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Content verification</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Registered files are represented by SHA-256 hashes, sizes, artifact types, and validation states.</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Configuration capture</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Scientific settings and external-tool arguments are stored with the relevant run or manifest.</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Selective reuse</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Previously completed work is reused only when the fingerprint and required artifacts remain compatible.</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Incremental invalidation</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Changed ligand inputs deactivate dependent results while preserving the historical record.</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Interruption recovery</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Runs left active at shutdown are marked interrupted; queued redocking validation resumes from valid checkpoints.</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Non-destructive history</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Superseded and archived entities remain available for audit rather than being silently overwritten.</w:t>
            </w:r>
          </w:p>
        </w:tc>
      </w:tr>
      <w:tr>
        <w:tc>
          <w:tcPr>
            <w:tcW w:type="dxa" w:w="2200"/>
            <w:tcMar>
              <w:top w:w="80" w:type="dxa"/>
              <w:start w:w="120" w:type="dxa"/>
              <w:bottom w:w="80" w:type="dxa"/>
              <w:end w:w="120" w:type="dxa"/>
            </w:tcMar>
            <w:vAlign w:val="center"/>
          </w:tcPr>
          <w:p>
            <w:pPr>
              <w:spacing w:after="0" w:line="240" w:lineRule="auto"/>
            </w:pPr>
            <w:r>
              <w:rPr>
                <w:rFonts w:ascii="Calibri" w:hAnsi="Calibri"/>
                <w:sz w:val="18"/>
              </w:rPr>
              <w:t>Operator visibility</w:t>
            </w:r>
          </w:p>
        </w:tc>
        <w:tc>
          <w:tcPr>
            <w:tcW w:type="dxa" w:w="7160"/>
            <w:tcMar>
              <w:top w:w="80" w:type="dxa"/>
              <w:start w:w="120" w:type="dxa"/>
              <w:bottom w:w="80" w:type="dxa"/>
              <w:end w:w="120" w:type="dxa"/>
            </w:tcMar>
            <w:vAlign w:val="center"/>
          </w:tcPr>
          <w:p>
            <w:pPr>
              <w:spacing w:after="0" w:line="240" w:lineRule="auto"/>
            </w:pPr>
            <w:r>
              <w:rPr>
                <w:rFonts w:ascii="Calibri" w:hAnsi="Calibri"/>
                <w:sz w:val="18"/>
              </w:rPr>
              <w:t>The interface reports stage, item, receptor, success, skip, failure, throughput, and estimated completion state.</w:t>
            </w:r>
          </w:p>
        </w:tc>
      </w:tr>
    </w:tbl>
    <w:p>
      <w:pPr>
        <w:spacing w:after="0"/>
      </w:pPr>
    </w:p>
    <w:p>
      <w:pPr>
        <w:pStyle w:val="Heading1"/>
      </w:pPr>
      <w:r>
        <w:t>11. Interpretation and limitations</w:t>
      </w:r>
    </w:p>
    <w:p>
      <w:r>
        <w:t>Docking affinity is a model-derived ranking quantity and must not be interpreted as a direct experimental binding free energy. Comparisons are most defensible within a consistent receptor profile and parameterization; cross-receptor comparisons require additional methodological justification. Alternative ligand states should be interpreted at the parent-compound level while retaining state-specific provenance.</w:t>
      </w:r>
    </w:p>
    <w:p>
      <w:r>
        <w:t>The current workflow is designed for conventional rigid-receptor, noncovalent docking. Flexible-receptor protocols, covalent docking, and metal-specific parameterization are outside its present scope. Inferred ligand chemistry, deliberately excluded receptor residues, the treatment of cofactors and ions, docking-box placement, and any unresolved structural defects require expert review. Redocking artifacts facilitate validation, but an external RMSD calculation and a prespecified acceptance criterion are required before receptor validation can be concluded.</w:t>
      </w:r>
    </w:p>
    <w:p>
      <w:pPr>
        <w:pStyle w:val="Heading1"/>
      </w:pPr>
      <w:r>
        <w:t>12. Recommended operating sequence</w:t>
      </w:r>
    </w:p>
    <w:p>
      <w:pPr>
        <w:keepNext/>
      </w:pPr>
      <w:r>
        <w:rPr>
          <w:b/>
          <w:color w:val="1F4D78"/>
        </w:rPr>
        <w:t>1. Create and inspect the project</w:t>
      </w:r>
    </w:p>
    <w:p>
      <w:pPr>
        <w:ind w:left="360"/>
      </w:pPr>
      <w:r>
        <w:t>Confirm the project location, settings, database initialization, and intended receptor/ligand scope.</w:t>
      </w:r>
    </w:p>
    <w:p>
      <w:pPr>
        <w:keepNext/>
      </w:pPr>
      <w:r>
        <w:rPr>
          <w:b/>
          <w:color w:val="1F4D78"/>
        </w:rPr>
        <w:t>2. Synchronize ligand inputs</w:t>
      </w:r>
    </w:p>
    <w:p>
      <w:pPr>
        <w:ind w:left="360"/>
      </w:pPr>
      <w:r>
        <w:t>Validate stable identifiers and SMILES values; review the added, unchanged, changed, and archived counts before proceeding.</w:t>
      </w:r>
    </w:p>
    <w:p>
      <w:pPr>
        <w:keepNext/>
      </w:pPr>
      <w:r>
        <w:rPr>
          <w:b/>
          <w:color w:val="1F4D78"/>
        </w:rPr>
        <w:t>3. Prepare and review receptor profiles</w:t>
      </w:r>
    </w:p>
    <w:p>
      <w:pPr>
        <w:ind w:left="360"/>
      </w:pPr>
      <w:r>
        <w:t>Inspect retained components, receptor composition, reference-ligand chemistry, docking box, and Vina settings; activate only approved profiles.</w:t>
      </w:r>
    </w:p>
    <w:p>
      <w:pPr>
        <w:keepNext/>
      </w:pPr>
      <w:r>
        <w:rPr>
          <w:b/>
          <w:color w:val="1F4D78"/>
        </w:rPr>
        <w:t>4. Perform receptor validation where applicable</w:t>
      </w:r>
    </w:p>
    <w:p>
      <w:pPr>
        <w:ind w:left="360"/>
      </w:pPr>
      <w:r>
        <w:t>Run queued redocking jobs and complete the external DockRMSD assessment before treating a receptor as validated.</w:t>
      </w:r>
    </w:p>
    <w:p>
      <w:pPr>
        <w:keepNext/>
      </w:pPr>
      <w:r>
        <w:rPr>
          <w:b/>
          <w:color w:val="1F4D78"/>
        </w:rPr>
        <w:t>5. Execute ligand stages</w:t>
      </w:r>
    </w:p>
    <w:p>
      <w:pPr>
        <w:ind w:left="360"/>
      </w:pPr>
      <w:r>
        <w:t>Run screening, MolScrub state generation, and Meeko ligand preparation; resolve failures or document exclusions.</w:t>
      </w:r>
    </w:p>
    <w:p>
      <w:pPr>
        <w:keepNext/>
      </w:pPr>
      <w:r>
        <w:rPr>
          <w:b/>
          <w:color w:val="1F4D78"/>
        </w:rPr>
        <w:t>6. Execute the docking campaign</w:t>
      </w:r>
    </w:p>
    <w:p>
      <w:pPr>
        <w:ind w:left="360"/>
      </w:pPr>
      <w:r>
        <w:t>Verify enabled receptors and the expected receptor-state run count, then review completion and failure summaries.</w:t>
      </w:r>
    </w:p>
    <w:p>
      <w:pPr>
        <w:keepNext/>
      </w:pPr>
      <w:r>
        <w:rPr>
          <w:b/>
          <w:color w:val="1F4D78"/>
        </w:rPr>
        <w:t>7. Review and select outputs</w:t>
      </w:r>
    </w:p>
    <w:p>
      <w:pPr>
        <w:ind w:left="360"/>
      </w:pPr>
      <w:r>
        <w:t>Inspect receptor-specific rankings and select successfully docked parent compounds for molecular export.</w:t>
      </w:r>
    </w:p>
    <w:p>
      <w:pPr>
        <w:keepNext/>
      </w:pPr>
      <w:r>
        <w:rPr>
          <w:b/>
          <w:color w:val="1F4D78"/>
        </w:rPr>
        <w:t>8. Generate reproducibility products</w:t>
      </w:r>
    </w:p>
    <w:p>
      <w:pPr>
        <w:ind w:left="360"/>
      </w:pPr>
      <w:r>
        <w:t>Export the manifest, leaderboard, selected pose files, receptor files, validation standard where available, and project report.</w:t>
      </w:r>
    </w:p>
    <w:p>
      <w:pPr>
        <w:keepNext/>
      </w:pPr>
      <w:r>
        <w:rPr>
          <w:b/>
          <w:color w:val="1F4D78"/>
        </w:rPr>
        <w:t>9. Archive the project intact</w:t>
      </w:r>
    </w:p>
    <w:p>
      <w:pPr>
        <w:ind w:left="360"/>
      </w:pPr>
      <w:r>
        <w:t>Retain project.yml, the database, logs, registered artifacts, exports, and tool-version information as a coherent analytical record.</w:t>
      </w:r>
    </w:p>
    <w:p>
      <w:pPr>
        <w:pStyle w:val="Heading1"/>
      </w:pPr>
      <w:r>
        <w:t>13. Principal project outputs</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shd w:fill="F2F4F7"/>
            <w:tcMar>
              <w:top w:w="80" w:type="dxa"/>
              <w:start w:w="120" w:type="dxa"/>
              <w:bottom w:w="80" w:type="dxa"/>
              <w:end w:w="120" w:type="dxa"/>
            </w:tcMar>
            <w:vAlign w:val="center"/>
          </w:tcPr>
          <w:p>
            <w:pPr>
              <w:spacing w:after="0" w:line="240" w:lineRule="auto"/>
            </w:pPr>
            <w:r>
              <w:rPr>
                <w:rFonts w:ascii="Calibri" w:hAnsi="Calibri"/>
                <w:b/>
                <w:color w:val="1F4D78"/>
                <w:sz w:val="18"/>
              </w:rPr>
              <w:t>Output class</w:t>
            </w:r>
          </w:p>
        </w:tc>
        <w:tc>
          <w:tcPr>
            <w:tcW w:type="dxa" w:w="6960"/>
            <w:shd w:fill="F2F4F7"/>
            <w:tcMar>
              <w:top w:w="80" w:type="dxa"/>
              <w:start w:w="120" w:type="dxa"/>
              <w:bottom w:w="80" w:type="dxa"/>
              <w:end w:w="120" w:type="dxa"/>
            </w:tcMar>
            <w:vAlign w:val="center"/>
          </w:tcPr>
          <w:p>
            <w:pPr>
              <w:spacing w:after="0" w:line="240" w:lineRule="auto"/>
            </w:pPr>
            <w:r>
              <w:rPr>
                <w:rFonts w:ascii="Calibri" w:hAnsi="Calibri"/>
                <w:b/>
                <w:color w:val="1F4D78"/>
                <w:sz w:val="18"/>
              </w:rPr>
              <w:t>Representative location or content</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Project inputs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inputs/input.csv and inputs/receptors/&lt;profile_id&gt;/</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Molecular states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artifacts/sdf/&lt;parent_id&gt;/&lt;state_id&gt;/input_conformer_0001.sdf</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Prepared ligands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artifacts/pdbqt/&lt;parent_id&gt;/&lt;state_id&gt;/ligand.pdbqt</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Docking runs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artifacts/docking/&lt;profile_id&gt;/&lt;parent_id&gt;/&lt;state_id&gt;/&lt;run_id&gt;/</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Selected molecular exports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For_PostDocking/&lt;profile_id&gt;/{PDBQTs,SDF}/&lt;parent_id&gt;/&lt;state_id&gt;/&lt;run_id&gt;/</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Validation artifacts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inputs/receptors/&lt;profile_id&gt;/redocking/&lt;run_id&gt;/</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Tabular exports</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exports/manifest.csv, exports/leaderboard.csv, and receptor-specific equivalents</w:t>
            </w:r>
          </w:p>
        </w:tc>
      </w:tr>
      <w:tr>
        <w:tc>
          <w:tcPr>
            <w:tcW w:type="dxa" w:w="2400"/>
            <w:tcMar>
              <w:top w:w="80" w:type="dxa"/>
              <w:start w:w="120" w:type="dxa"/>
              <w:bottom w:w="80" w:type="dxa"/>
              <w:end w:w="120" w:type="dxa"/>
            </w:tcMar>
            <w:vAlign w:val="center"/>
          </w:tcPr>
          <w:p>
            <w:pPr>
              <w:spacing w:after="0" w:line="240" w:lineRule="auto"/>
            </w:pPr>
            <w:r>
              <w:rPr>
                <w:rFonts w:ascii="Calibri" w:hAnsi="Calibri"/>
                <w:sz w:val="18"/>
              </w:rPr>
              <w:t>Project report</w:t>
            </w:r>
          </w:p>
        </w:tc>
        <w:tc>
          <w:tcPr>
            <w:tcW w:type="dxa" w:w="6960"/>
            <w:tcMar>
              <w:top w:w="80" w:type="dxa"/>
              <w:start w:w="120" w:type="dxa"/>
              <w:bottom w:w="80" w:type="dxa"/>
              <w:end w:w="120" w:type="dxa"/>
            </w:tcMar>
            <w:vAlign w:val="center"/>
          </w:tcPr>
          <w:p>
            <w:pPr>
              <w:spacing w:after="0" w:line="240" w:lineRule="auto"/>
            </w:pPr>
            <w:r>
              <w:rPr>
                <w:rFonts w:ascii="Calibri" w:hAnsi="Calibri"/>
                <w:sz w:val="18"/>
              </w:rPr>
              <w:t>A timestamped HTML report accompanied by source-run and report-data provenance files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A7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606A74"/>
        <w:sz w:val="16"/>
      </w:rPr>
      <w:t>MOLDOCKPIPE REDUX | GENERAL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Process - MolDockPipe Redux</dc:title>
  <dc:subject>Academic methodological description of the MolDockPipe Redux workflow</dc:subject>
  <dc:creator>MolDockPipe Redux Project</dc:creator>
  <cp:keywords>virtual screening, molecular docking, MolDockPipe Redux, AutoDock Vina, Meeko, MolScrub</cp:keywords>
  <dc:description>generated by python-docx</dc:description>
  <cp:lastModifiedBy/>
  <cp:revision>1</cp:revision>
  <dcterms:created xsi:type="dcterms:W3CDTF">2013-12-23T23:15:00Z</dcterms:created>
  <dcterms:modified xsi:type="dcterms:W3CDTF">2013-12-23T23:15:00Z</dcterms:modified>
  <cp:category/>
</cp:coreProperties>
</file>