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3 Draft — Sample Preparation and Fracture System Design</w:t>
      </w:r>
    </w:p>
    <w:p>
      <w:r>
        <w:t>Draft generated: 2026-03-05 13:22</w:t>
      </w:r>
    </w:p>
    <w:p>
      <w:r>
        <w:t>Status: working draft scaffold. Replace placeholders with prose, tables, and figures.</w:t>
      </w:r>
    </w:p>
    <w:p>
      <w:r>
        <w:t>Purpose: document formulations, SiNP synthesis/size distribution, curing, sample geometry, and fracture device traceability.</w:t>
      </w:r>
    </w:p>
    <w:p>
      <w:pPr>
        <w:pStyle w:val="Heading1"/>
      </w:pPr>
      <w:r>
        <w:t>3.1 Material Formulations</w:t>
      </w:r>
    </w:p>
    <w:p>
      <w:r>
        <w:rPr>
          <w:b/>
        </w:rPr>
        <w:t>Table 3.1 — Formulation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PEGDA</w:t>
            </w:r>
          </w:p>
        </w:tc>
        <w:tc>
          <w:tcPr>
            <w:tcW w:type="dxa" w:w="1728"/>
          </w:tcPr>
          <w:p>
            <w:r>
              <w:t>TPO wt%</w:t>
            </w:r>
          </w:p>
        </w:tc>
        <w:tc>
          <w:tcPr>
            <w:tcW w:type="dxa" w:w="1728"/>
          </w:tcPr>
          <w:p>
            <w:r>
              <w:t>SiNP wt%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rPr>
          <w:b/>
        </w:rPr>
        <w:t>[PLACEHOLDER] Any batching/traceability notes.</w:t>
      </w:r>
    </w:p>
    <w:p>
      <w:pPr>
        <w:pStyle w:val="Heading1"/>
      </w:pPr>
      <w:r>
        <w:t>3.2 SiNP Synthesis + Size Distribution</w:t>
      </w:r>
    </w:p>
    <w:p>
      <w:r>
        <w:rPr>
          <w:b/>
        </w:rPr>
        <w:t>[PLACEHOLDER] Stober synthesis summary + nominal diameter and variability; cite measurement method.</w:t>
      </w:r>
    </w:p>
    <w:p>
      <w:r>
        <w:rPr>
          <w:b/>
        </w:rPr>
        <w:t>[PLACEHOLDER] Figure placeholder: particle size distribution (bulk synthesis characterization).</w:t>
      </w:r>
    </w:p>
    <w:p>
      <w:pPr>
        <w:pStyle w:val="Heading1"/>
      </w:pPr>
      <w:r>
        <w:t>3.3 UV Curing Protocol</w:t>
      </w:r>
    </w:p>
    <w:p>
      <w:r>
        <w:rPr>
          <w:b/>
        </w:rPr>
        <w:t>[PLACEHOLDER] Curing setup, time, intensity, environmental controls.</w:t>
      </w:r>
    </w:p>
    <w:p>
      <w:pPr>
        <w:pStyle w:val="Heading1"/>
      </w:pPr>
      <w:r>
        <w:t>3.4 Sample Geometry + Fracture Device</w:t>
      </w:r>
    </w:p>
    <w:p>
      <w:r>
        <w:rPr>
          <w:b/>
        </w:rPr>
        <w:t>[PLACEHOLDER] Fracture device design rationale, repeatability, and why it produces interrogable surfaces.</w:t>
      </w:r>
    </w:p>
    <w:p>
      <w:pPr>
        <w:pStyle w:val="Heading1"/>
      </w:pPr>
      <w:r>
        <w:t>3.5 Synthesis Paragraph (Required)</w:t>
      </w:r>
    </w:p>
    <w:p>
      <w:r>
        <w:rPr>
          <w:b/>
        </w:rPr>
        <w:t>[PLACEHOLDER] End with a short synthesis paragraph linking to AFM acquisition (Ch.4).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