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 Statistical Validation Framework (Stage 1)</w:t>
      </w:r>
    </w:p>
    <w:p>
      <w:r>
        <w:t>Draft generated: 2026-03-06 16:48</w:t>
      </w:r>
    </w:p>
    <w:p>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r>
        <w:t>The chapter does not present final per-system outcomes, interphase conclusions, or mechanistic interpretation of electro-mechanical behavior. Those tasks belong to the results and discussion chapters.</w:t>
      </w:r>
    </w:p>
    <w:p>
      <w:pPr>
        <w:pStyle w:val="Heading1"/>
      </w:pPr>
      <w:r>
        <w:t>5.1 Particle Counting Workflow</w:t>
      </w:r>
    </w:p>
    <w:p>
      <w:r>
        <w:t>Chapter 5 defines the Stage 1 statistical validation framework used to determine whether the present fracture-surface dataset contains enough isolated particle candidates to justify Stage 2. The first step in that framework is the particle-counting workflow itself: how one topography scan is processed, how segmented grains are filtered, and how the resulting outputs are exported for later statistical modeling.</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fracture-surface area.</w:t>
            </w:r>
          </w:p>
        </w:tc>
      </w:tr>
      <w:tr>
        <w:tc>
          <w:tcPr>
            <w:tcW w:type="dxa" w:w="4320"/>
          </w:tcPr>
          <w:p>
            <w:r>
              <w:t>Sample set</w:t>
            </w:r>
          </w:p>
        </w:tc>
        <w:tc>
          <w:tcPr>
            <w:tcW w:type="dxa" w:w="4320"/>
          </w:tcPr>
          <w:p>
            <w:r>
              <w:t>One grouped collection of scans associated with one physical sample /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config-driven workflow.</w:t>
            </w:r>
          </w:p>
        </w:tc>
      </w:tr>
      <w:tr>
        <w:tc>
          <w:tcPr>
            <w:tcW w:type="dxa" w:w="4320"/>
          </w:tcPr>
          <w:p>
            <w:r>
              <w:t>Processing mode</w:t>
            </w:r>
          </w:p>
        </w:tc>
        <w:tc>
          <w:tcPr>
            <w:tcW w:type="dxa" w:w="4320"/>
          </w:tcPr>
          <w:p>
            <w:r>
              <w:t>The operation chain used by a profile, implemented through Gwyddion/pygwy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center-to-center isolation rule.</w:t>
            </w:r>
          </w:p>
        </w:tc>
      </w:tr>
      <w:tr>
        <w:tc>
          <w:tcPr>
            <w:tcW w:type="dxa" w:w="4320"/>
          </w:tcPr>
          <w:p>
            <w:r>
              <w:t>Confirmed particle</w:t>
            </w:r>
          </w:p>
        </w:tc>
        <w:tc>
          <w:tcPr>
            <w:tcW w:type="dxa" w:w="4320"/>
          </w:tcPr>
          <w:p>
            <w:r>
              <w:t>A Stage 2 validated particle after multi-channel confirmation.</w:t>
            </w:r>
          </w:p>
        </w:tc>
      </w:tr>
      <w:tr>
        <w:tc>
          <w:tcPr>
            <w:tcW w:type="dxa" w:w="4320"/>
          </w:tcPr>
          <w:p>
            <w:r>
              <w:t>Grain</w:t>
            </w:r>
          </w:p>
        </w:tc>
        <w:tc>
          <w:tcPr>
            <w:tcW w:type="dxa" w:w="4320"/>
          </w:tcPr>
          <w:p>
            <w:r>
              <w:t>A segmented feature returned by Gwyddion grain analysis; not automatically equivalent to a true particle.</w:t>
            </w:r>
          </w:p>
        </w:tc>
      </w:tr>
      <w:tr>
        <w:tc>
          <w:tcPr>
            <w:tcW w:type="dxa" w:w="4320"/>
          </w:tcPr>
          <w:p>
            <w:r>
              <w:t>Baseline</w:t>
            </w:r>
          </w:p>
        </w:tc>
        <w:tc>
          <w:tcPr>
            <w:tcW w:type="dxa" w:w="4320"/>
          </w:tcPr>
          <w:p>
            <w:r>
              <w:t>The reference method or reference dataset used for comparison; the meaning is stated explicitly where used.</w:t>
            </w:r>
          </w:p>
        </w:tc>
      </w:tr>
      <w:tr>
        <w:tc>
          <w:tcPr>
            <w:tcW w:type="dxa" w:w="4320"/>
          </w:tcPr>
          <w:p>
            <w:r>
              <w:t>Stage 1</w:t>
            </w:r>
          </w:p>
        </w:tc>
        <w:tc>
          <w:tcPr>
            <w:tcW w:type="dxa" w:w="4320"/>
          </w:tcPr>
          <w:p>
            <w:r>
              <w:t>Topography-based survey analysis used to estimate particle presence, isolation frequency, and scan sufficiency.</w:t>
            </w:r>
          </w:p>
        </w:tc>
      </w:tr>
      <w:tr>
        <w:tc>
          <w:tcPr>
            <w:tcW w:type="dxa" w:w="4320"/>
          </w:tcPr>
          <w:p>
            <w:r>
              <w:t>Stage 2</w:t>
            </w:r>
          </w:p>
        </w:tc>
        <w:tc>
          <w:tcPr>
            <w:tcW w:type="dxa" w:w="4320"/>
          </w:tcPr>
          <w:p>
            <w:r>
              <w:t>Conditional follow-on analysis that would confirm candidate particles using multi-channel evidence.</w:t>
            </w:r>
          </w:p>
        </w:tc>
      </w:tr>
    </w:tbl>
    <w:p>
      <w:r>
        <w:t>The term particle therefore has three different levels of specificity in this thesis: a grain is the raw segmented object, a candidate particle is a grain retained after the Stage 1 rules are applied, and a confirmed particle is a candidate that survives later Stage 2 validation. This distinction is necessary because Stage 1 counts alone do not prove that every retained topographic feature is a true silica particle.</w:t>
      </w:r>
    </w:p>
    <w:p>
      <w:r>
        <w:t>The Stage 1 dataset consisted of forward topography scans collected on fracture surfaces and later grouped by SiNP loading and surface condition. Only forward scans were retained in the present workflow. This was a method-selection decision based on the earlier modulus validation work, which showed close agreement between forward and backward scan directions. As a result, including both directions in the Stage 1 topography survey would have introduced redundancy without materially changing the feasibility question addressed here.</w:t>
      </w:r>
    </w:p>
    <w:p>
      <w:r>
        <w:t>The nominal survey geometry was a 21 x 21 grid of 5 um x 5 um scans collected across a larger fracture-surface region. For the present Stage 1 framework, scans were grouped by SiNP wt% and by scraped versus non-scraped surface condition. Some grouped sample sets contained fewer scans than the nominal grid would imply, either because the source inventory was incomplete or because scans were excluded during review. For that reason, the nominal grid should be understood as the intended acquisition structure, while the actual included scan counts are treated as reported results in Chapter 6. Chapter 3 provides the sample-preparation and fracture-surface context, and Chapter 4 defines the AFM acquisition procedure from which these Stage 1 scan sets were drawn.</w:t>
      </w:r>
    </w:p>
    <w:p>
      <w:r>
        <w:rPr>
          <w:b/>
        </w:rPr>
        <w:t>Figure insert placeholder</w:t>
      </w:r>
    </w:p>
    <w:p>
      <w:r>
        <w:t>Insert a schematic showing: (1) the nominal 21 x 21 scan grid, (2) the relation between one scan and the larger survey grid, and (3) the grouped data structure used in Stage 1 (wt% split, scraped/non-scraped split, and per-sample-set grouping).</w:t>
      </w:r>
    </w:p>
    <w:p>
      <w:r>
        <w:t>The software environment used to generate the reported Stage 1 outputs consisted of Gwyddion 2.70.20260111 for the core grain-processing environment, Python 2.7.16 for the pygwy-backed per-scan runner, and Python 3.14.2 for aggregation, fitting, plotting, and report generation. The present implementation therefore uses two Python environments by design: a Python 2.7 path constrained by the Windows pygwy/Gwyddion stack and a separate Python 3 environment for all downstream analysis products.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 role</w:t>
            </w:r>
          </w:p>
        </w:tc>
      </w:tr>
      <w:tr>
        <w:tc>
          <w:tcPr>
            <w:tcW w:type="dxa" w:w="4320"/>
          </w:tcPr>
          <w:p>
            <w:r>
              <w:t>Gwyddion</w:t>
            </w:r>
          </w:p>
        </w:tc>
        <w:tc>
          <w:tcPr>
            <w:tcW w:type="dxa" w:w="4320"/>
          </w:tcPr>
          <w:p>
            <w:r>
              <w:t>2.70.20260111; core processing and grain-analysis environment.</w:t>
            </w:r>
          </w:p>
        </w:tc>
      </w:tr>
      <w:tr>
        <w:tc>
          <w:tcPr>
            <w:tcW w:type="dxa" w:w="4320"/>
          </w:tcPr>
          <w:p>
            <w:r>
              <w:t>Python 2</w:t>
            </w:r>
          </w:p>
        </w:tc>
        <w:tc>
          <w:tcPr>
            <w:tcW w:type="dxa" w:w="4320"/>
          </w:tcPr>
          <w:p>
            <w:r>
              <w:t>2.7.16; pygwy-backed per-scan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shell-default python points to Python 2 on this machine, so Python 3 steps are invoked explicitly.</w:t>
            </w:r>
          </w:p>
        </w:tc>
      </w:tr>
    </w:tbl>
    <w:p>
      <w:pPr>
        <w:pStyle w:val="Heading1"/>
      </w:pPr>
      <w:r>
        <w:t>5.4 Particle Counting Workflow</w:t>
      </w:r>
    </w:p>
    <w:p>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follow the same operation family available in the Gwyddion environment. Python-side logic is used only where the workflow requires explicit, reproducible calculations not available as a single Gwyddion GUI action, such as threshold-resolution bookkeeping, diameter conversion, and the final isolation-distance check.</w:t>
      </w:r>
    </w:p>
    <w:p>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-&gt; Plane Level -&gt; Align Rows -&gt; Median background -&gt; Median(3)</w:t>
            </w:r>
          </w:p>
        </w:tc>
        <w:tc>
          <w:tcPr>
            <w:tcW w:type="dxa" w:w="2880"/>
          </w:tcPr>
          <w:p>
            <w:r>
              <w:t>Suppress scan-line artefacts and remove background using a median-based leveling route.</w:t>
            </w:r>
          </w:p>
        </w:tc>
      </w:tr>
      <w:tr>
        <w:tc>
          <w:tcPr>
            <w:tcW w:type="dxa" w:w="2880"/>
          </w:tcPr>
          <w:p>
            <w:r>
              <w:t>Flatten base</w:t>
            </w:r>
          </w:p>
        </w:tc>
        <w:tc>
          <w:tcPr>
            <w:tcW w:type="dxa" w:w="2880"/>
          </w:tcPr>
          <w:p>
            <w:r>
              <w:t>Align Rows -&gt; Plane Level -&gt; Align Rows -&gt; Flatten Base -&gt; Median(3)</w:t>
            </w:r>
          </w:p>
        </w:tc>
        <w:tc>
          <w:tcPr>
            <w:tcW w:type="dxa" w:w="2880"/>
          </w:tcPr>
          <w:p>
            <w:r>
              <w:t>Suppress scan-line artefacts and remove background using a flatten-base route.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tbl>
      <w:tblPr>
        <w:tblStyle w:val="TableGrid"/>
        <w:tblW w:type="auto" w:w="0"/>
        <w:tblLook w:firstColumn="1" w:firstRow="1" w:lastColumn="0" w:lastRow="0" w:noHBand="0" w:noVBand="1" w:val="04A0"/>
      </w:tblPr>
      <w:tblGrid>
        <w:gridCol w:w="4320"/>
        <w:gridCol w:w="4320"/>
      </w:tblGrid>
      <w:tr>
        <w:tc>
          <w:tcPr>
            <w:tcW w:type="dxa" w:w="4320"/>
          </w:tcPr>
          <w:p>
            <w:r>
              <w:t>Active default /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Use the active config value for the reported run; e.g., the corrected rerun uses 250-550 nm</w:t>
            </w:r>
          </w:p>
        </w:tc>
      </w:tr>
      <w:tr>
        <w:tc>
          <w:tcPr>
            <w:tcW w:type="dxa" w:w="4320"/>
          </w:tcPr>
          <w:p>
            <w:r>
              <w:t>Isolation distance</w:t>
            </w:r>
          </w:p>
        </w:tc>
        <w:tc>
          <w:tcPr>
            <w:tcW w:type="dxa" w:w="4320"/>
          </w:tcPr>
          <w:p>
            <w:r>
              <w:t>900 nm minimum center-to-center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review-only mask panels retained where configured</w:t>
            </w:r>
          </w:p>
        </w:tc>
      </w:tr>
      <w:tr>
        <w:tc>
          <w:tcPr>
            <w:tcW w:type="dxa" w:w="4320"/>
          </w:tcPr>
          <w:p>
            <w:r>
              <w:t>Grain export</w:t>
            </w:r>
          </w:p>
        </w:tc>
        <w:tc>
          <w:tcPr>
            <w:tcW w:type="dxa" w:w="4320"/>
          </w:tcPr>
          <w:p>
            <w:r>
              <w:t>Enabled with per-grain geometric/property quantities</w:t>
            </w:r>
          </w:p>
        </w:tc>
      </w:tr>
    </w:tbl>
    <w:p>
      <w:r>
        <w:t>After preprocessing, a thresholded mask is generated on the processed height field and passed to Gwyddion grain labeling. The raw segmented grain count obtained at this stage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per-scan exports therefore preserve the entire progression from raw segmentation to isolated candidates rather than only the final count.</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isolation-distance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(mean, fixed 0, percentile, or combined maximum).</w:t>
            </w:r>
          </w:p>
        </w:tc>
      </w:tr>
    </w:tbl>
    <w:p>
      <w:r>
        <w:t>The current threshold routes are: mean threshold, fixed zero threshold, percentile-95 threshold, and a combined maximum threshold defined as max(mean, 0.0, p95). These routes are treated as controlled sensitivity variations within the same Stage 1 framework rather than as separate experimental programs.</w:t>
      </w:r>
    </w:p>
    <w:p>
      <w:pPr>
        <w:pStyle w:val="Heading1"/>
      </w:pPr>
      <w:r>
        <w:t>5.2 Diameter Filtering</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 * sqrt(A_px / pi)</w:t>
      </w:r>
    </w:p>
    <w:p>
      <w:r>
        <w:t>Diameter conversion to nanometers:</w:t>
      </w:r>
    </w:p>
    <w:p>
      <w:r>
        <w:t>d_eq,nm = d_eq,px * p_nm</w:t>
      </w:r>
    </w:p>
    <w:p>
      <w:r>
        <w:t>where A_px is the grain area in pixels and p_nm is the lateral size of one pixel in nanometers. The active diameter band must always be taken from the run config used to generate the dataset. Earlier comparison runs used 350-550 nm, while the current corrected rerun uses 250-550 nm. The thesis text should therefore state the band actually used for the specific generated outputs being discussed.</w:t>
      </w:r>
    </w:p>
    <w:p>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pPr>
        <w:pStyle w:val="Heading1"/>
      </w:pPr>
      <w:r>
        <w:t>5.3 Isolation Criteria</w:t>
      </w:r>
    </w:p>
    <w:p>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r>
        <w:t>Isolation rule:</w:t>
      </w:r>
    </w:p>
    <w:p>
      <w:r>
        <w:t>min(d_ij) &gt;= 900 nm</w:t>
      </w:r>
    </w:p>
    <w:p>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pPr>
        <w:pStyle w:val="Heading1"/>
      </w:pPr>
      <w:r>
        <w:t>5.4 Isolation Probability Modeling</w:t>
      </w:r>
    </w:p>
    <w:p>
      <w:r>
        <w:t>The isolated-particle count per scan is treated as the primary random variable for the Stage 1 scan-sufficiency model. Let X_i denote the isolated-particle count in scan i and let S_n = sum(X_i) denote the accumulated number of isolated particles obtained after n scans. In the baseline formulation used here, the isolated count per scan is modeled with a Poisson process having mean lambda.</w:t>
      </w:r>
    </w:p>
    <w:p>
      <w:r>
        <w:t>Poisson baseline:</w:t>
      </w:r>
    </w:p>
    <w:p>
      <w:r>
        <w:t>X_i ~ Poisson(lambda)</w:t>
      </w:r>
    </w:p>
    <w:p>
      <w:r>
        <w:t>S_n ~ Poisson(n * lambda)</w:t>
      </w:r>
    </w:p>
    <w:p>
      <w:r>
        <w:t>This model is used as a practical count model for Stage 1 feasibility. Its role is not to claim a perfect microscopic physical model of particle occurrence, but to provide a reproducible way to translate observed isolated-particle frequency into a scan budget and a zero-yield risk estimate. The corresponding contrapositive question is the probability of scanning n regions and still obtaining zero isolated particles, which provides an operational risk metric for unproductive scan effort.</w:t>
      </w:r>
    </w:p>
    <w:p>
      <w:pPr>
        <w:pStyle w:val="Heading1"/>
      </w:pPr>
      <w:r>
        <w:t>5.5 Required Map Count for 95% Confidence</w:t>
      </w:r>
    </w:p>
    <w:p>
      <w:r>
        <w:t>The thesis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&gt;= T) &gt;= q</w:t>
      </w:r>
    </w:p>
    <w:p>
      <w:r>
        <w:t>In the present work, the central reporting threshold is q = 0.95. This is the quantity later reported in Chapter 6 as the required scan count for 95% confidence. The reported result is therefore confidence-based and should not be reduced to the intuition shortcut N/p. The N/p form is useful only as a rough heuristic when discussing how a future Stage 2 confirmation fraction would scale the required scan effort.</w:t>
      </w:r>
    </w:p>
    <w:p>
      <w:pPr>
        <w:pStyle w:val="Heading1"/>
      </w:pPr>
      <w:r>
        <w:t>5.6 Processing-Route Validation</w:t>
      </w:r>
    </w:p>
    <w:p>
      <w:r>
        <w:t>Processing-route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particle-counting framework.</w:t>
      </w:r>
    </w:p>
    <w:p>
      <w:r>
        <w:t>A second route-consistency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method-selection basis for restricting the present topography workflow to forward scans only.</w:t>
      </w:r>
    </w:p>
    <w:p>
      <w:r>
        <w:t>The present thesis therefore treats route validation in two layers: directional consistency from prior modulus comparison work, and within-topography consistency across the controlled preprocessing and threshold routes defined in the Stage 1 job matrix. The quantitative route-comparison outcomes themselves are deferred to Chapter 6. A manual Gwyddion GUI parity SOP is retained only as an appendix verification artifact and is not part of the primary numbered Chapter 5 method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