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 Statistical Validation Framework (Stage 1)</w:t>
      </w:r>
    </w:p>
    <w:p>
      <w:r>
        <w:t>Draft generated: 2026-03-06 19:23</w:t>
      </w:r>
    </w:p>
    <w:p>
      <w:r>
        <w:t>This chapter defines the Stage 1 statistical validation framework used to determine whether the fracture-surface topography dataset contains enough isolated particle candidates to justify Stage 2 multi-channel interrogation. The chapter is methodological in scope: it defines the counting workflow, filtering rules, isolation logic, and statistical decision criteria used later in Chapter 6.</w:t>
      </w:r>
    </w:p>
    <w:p>
      <w:r>
        <w:t>The chapter does not present final per-system outcomes, interphase conclusions, or mechanistic interpretation of electro-mechanical behavior. Those tasks belong to the results and discussion chapters.</w:t>
      </w:r>
    </w:p>
    <w:p>
      <w:pPr>
        <w:pStyle w:val="Heading1"/>
      </w:pPr>
      <w:r>
        <w:t>5.1 Particle Counting Workflow</w:t>
      </w:r>
    </w:p>
    <w:p>
      <w:r>
        <w:t>Chapter 5 defines the Stage 1 statistical validation framework used to determine whether the present fracture-surface dataset contains enough isolated particle candidates to justify Stage 2. The first step in that framework is the particle-counting workflow itself: how one topography scan is processed, how segmented grains are filtered, and how the resulting outputs are exported for later statistical modeling.</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fracture-surface area.</w:t>
            </w:r>
          </w:p>
        </w:tc>
      </w:tr>
      <w:tr>
        <w:tc>
          <w:tcPr>
            <w:tcW w:type="dxa" w:w="4320"/>
          </w:tcPr>
          <w:p>
            <w:r>
              <w:t>Sample set</w:t>
            </w:r>
          </w:p>
        </w:tc>
        <w:tc>
          <w:tcPr>
            <w:tcW w:type="dxa" w:w="4320"/>
          </w:tcPr>
          <w:p>
            <w:r>
              <w:t>One grouped collection of scans associated with one physical sample /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config-driven workflow.</w:t>
            </w:r>
          </w:p>
        </w:tc>
      </w:tr>
      <w:tr>
        <w:tc>
          <w:tcPr>
            <w:tcW w:type="dxa" w:w="4320"/>
          </w:tcPr>
          <w:p>
            <w:r>
              <w:t>Processing mode</w:t>
            </w:r>
          </w:p>
        </w:tc>
        <w:tc>
          <w:tcPr>
            <w:tcW w:type="dxa" w:w="4320"/>
          </w:tcPr>
          <w:p>
            <w:r>
              <w:t>The operation chain used by a profile, implemented through Gwyddion/pygwy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center-to-center isolation rule.</w:t>
            </w:r>
          </w:p>
        </w:tc>
      </w:tr>
      <w:tr>
        <w:tc>
          <w:tcPr>
            <w:tcW w:type="dxa" w:w="4320"/>
          </w:tcPr>
          <w:p>
            <w:r>
              <w:t>Confirmed particle</w:t>
            </w:r>
          </w:p>
        </w:tc>
        <w:tc>
          <w:tcPr>
            <w:tcW w:type="dxa" w:w="4320"/>
          </w:tcPr>
          <w:p>
            <w:r>
              <w:t>A Stage 2 validated particle after multi-channel confirmation.</w:t>
            </w:r>
          </w:p>
        </w:tc>
      </w:tr>
      <w:tr>
        <w:tc>
          <w:tcPr>
            <w:tcW w:type="dxa" w:w="4320"/>
          </w:tcPr>
          <w:p>
            <w:r>
              <w:t>Grain</w:t>
            </w:r>
          </w:p>
        </w:tc>
        <w:tc>
          <w:tcPr>
            <w:tcW w:type="dxa" w:w="4320"/>
          </w:tcPr>
          <w:p>
            <w:r>
              <w:t>A segmented feature returned by Gwyddion grain analysis; not automatically equivalent to a true particle.</w:t>
            </w:r>
          </w:p>
        </w:tc>
      </w:tr>
      <w:tr>
        <w:tc>
          <w:tcPr>
            <w:tcW w:type="dxa" w:w="4320"/>
          </w:tcPr>
          <w:p>
            <w:r>
              <w:t>Baseline</w:t>
            </w:r>
          </w:p>
        </w:tc>
        <w:tc>
          <w:tcPr>
            <w:tcW w:type="dxa" w:w="4320"/>
          </w:tcPr>
          <w:p>
            <w:r>
              <w:t>The reference method or reference dataset used for comparison; the meaning is stated explicitly where used.</w:t>
            </w:r>
          </w:p>
        </w:tc>
      </w:tr>
      <w:tr>
        <w:tc>
          <w:tcPr>
            <w:tcW w:type="dxa" w:w="4320"/>
          </w:tcPr>
          <w:p>
            <w:r>
              <w:t>Stage 1</w:t>
            </w:r>
          </w:p>
        </w:tc>
        <w:tc>
          <w:tcPr>
            <w:tcW w:type="dxa" w:w="4320"/>
          </w:tcPr>
          <w:p>
            <w:r>
              <w:t>Topography-based survey analysis used to estimate particle presence, isolation frequency, and scan sufficiency.</w:t>
            </w:r>
          </w:p>
        </w:tc>
      </w:tr>
      <w:tr>
        <w:tc>
          <w:tcPr>
            <w:tcW w:type="dxa" w:w="4320"/>
          </w:tcPr>
          <w:p>
            <w:r>
              <w:t>Stage 2</w:t>
            </w:r>
          </w:p>
        </w:tc>
        <w:tc>
          <w:tcPr>
            <w:tcW w:type="dxa" w:w="4320"/>
          </w:tcPr>
          <w:p>
            <w:r>
              <w:t>Conditional follow-on analysis that would confirm candidate particles using multi-channel evidence.</w:t>
            </w:r>
          </w:p>
        </w:tc>
      </w:tr>
    </w:tbl>
    <w:p>
      <w:r>
        <w:t>The term particle therefore has three different levels of specificity in this thesis: a grain is the raw segmented object, a candidate particle is a grain retained after the Stage 1 rules are applied, and a confirmed particle is a candidate that survives later Stage 2 validation. This distinction is necessary because Stage 1 counts alone do not prove that every retained topographic feature is a true silica particle.</w:t>
      </w:r>
    </w:p>
    <w:p>
      <w:r>
        <w:t>The Stage 1 dataset consisted of forward topography scans collected on fracture surfaces and later grouped by SiNP loading and surface condition. Only forward scans were retained in the present workflow. This was a method-selection decision based on the earlier modulus validation work, which showed close agreement between forward and backward scan directions. As a result, including both directions in the Stage 1 topography survey would have introduced redundancy without materially changing the feasibility question addressed here.</w:t>
      </w:r>
    </w:p>
    <w:p>
      <w:r>
        <w:t>The nominal survey geometry was a 21 x 21 grid of 5 um x 5 um scans collected across a larger fracture-surface region. For the present Stage 1 framework, scans were grouped by SiNP wt% and by scraped versus non-scraped surface condition. Some grouped sample sets contained fewer scans than the nominal grid would imply, either because the source inventory was incomplete or because scans were excluded during review. For that reason, the nominal grid should be understood as the intended acquisition structure, while the actual included scan counts are treated as reported results in Chapter 6. Chapter 3 provides the sample-preparation and fracture-surface context, and Chapter 4 defines the AFM acquisition procedure from which these Stage 1 scan sets were drawn.</w:t>
      </w:r>
    </w:p>
    <w:p>
      <w:r>
        <w:rPr>
          <w:b/>
        </w:rPr>
        <w:t>Figure insert placeholder</w:t>
      </w:r>
    </w:p>
    <w:p>
      <w:r>
        <w:t>Insert a schematic showing: (1) the nominal 21 x 21 scan grid, (2) the relation between one scan and the larger survey grid, and (3) the grouped data structure used in Stage 1 (wt% split, scraped/non-scraped split, and per-sample-set grouping).</w:t>
      </w:r>
    </w:p>
    <w:p>
      <w:r>
        <w:t>The software environment used to generate the reported Stage 1 outputs consisted of Gwyddion 2.70.20260111 for the core grain-processing environment, Python 2.7.16 for the pygwy-backed per-scan runner, and Python 3.14.2 for aggregation, fitting, plotting, and report generation. The present implementation therefore uses two Python environments by design: a Python 2.7 path constrained by the Windows pygwy/Gwyddion stack and a separate Python 3 environment for all downstream analysis products.</w:t>
      </w:r>
    </w:p>
    <w:p>
      <w:r>
        <w:t>A unit-provenance distinction is important for the modulus-side validation work that informs this chapter. In the current workflow, the runner first asks pygwy for the active field z-unit and only then applies any configured normalization. A direct one-file verification run on the current PEGDA modulus TIFFs showed that pygwy did not detect an embedded modulus z-unit for that file, so the present `kPa` labeling reflects the workflow fallback/normalization path rather than independently confirmed source metadata. This does not prevent relative route comparison, but it does mean that absolute physical unit assignment must be treated as under validation until it is confirmed against the instrument export path or a Gwyddion GUI parity check.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 / role</w:t>
            </w:r>
          </w:p>
        </w:tc>
      </w:tr>
      <w:tr>
        <w:tc>
          <w:tcPr>
            <w:tcW w:type="dxa" w:w="4320"/>
          </w:tcPr>
          <w:p>
            <w:r>
              <w:t>Gwyddion</w:t>
            </w:r>
          </w:p>
        </w:tc>
        <w:tc>
          <w:tcPr>
            <w:tcW w:type="dxa" w:w="4320"/>
          </w:tcPr>
          <w:p>
            <w:r>
              <w:t>2.70.20260111; core processing and grain-analysis environment.</w:t>
            </w:r>
          </w:p>
        </w:tc>
      </w:tr>
      <w:tr>
        <w:tc>
          <w:tcPr>
            <w:tcW w:type="dxa" w:w="4320"/>
          </w:tcPr>
          <w:p>
            <w:r>
              <w:t>Python 2</w:t>
            </w:r>
          </w:p>
        </w:tc>
        <w:tc>
          <w:tcPr>
            <w:tcW w:type="dxa" w:w="4320"/>
          </w:tcPr>
          <w:p>
            <w:r>
              <w:t>2.7.16; pygwy-backed per-scan processing runner.</w:t>
            </w:r>
          </w:p>
        </w:tc>
      </w:tr>
      <w:tr>
        <w:tc>
          <w:tcPr>
            <w:tcW w:type="dxa" w:w="4320"/>
          </w:tcPr>
          <w:p>
            <w:r>
              <w:t>Python 3</w:t>
            </w:r>
          </w:p>
        </w:tc>
        <w:tc>
          <w:tcPr>
            <w:tcW w:type="dxa" w:w="4320"/>
          </w:tcPr>
          <w:p>
            <w:r>
              <w:t>3.14.2; postprocessing, fitting, plotting, and report generation.</w:t>
            </w:r>
          </w:p>
        </w:tc>
      </w:tr>
      <w:tr>
        <w:tc>
          <w:tcPr>
            <w:tcW w:type="dxa" w:w="4320"/>
          </w:tcPr>
          <w:p>
            <w:r>
              <w:t>Environment note</w:t>
            </w:r>
          </w:p>
        </w:tc>
        <w:tc>
          <w:tcPr>
            <w:tcW w:type="dxa" w:w="4320"/>
          </w:tcPr>
          <w:p>
            <w:r>
              <w:t>The shell-default python points to Python 2 on this machine, so Python 3 steps are invoked explicitly.</w:t>
            </w:r>
          </w:p>
        </w:tc>
      </w:tr>
    </w:tbl>
    <w:p>
      <w:pPr>
        <w:pStyle w:val="Heading1"/>
      </w:pPr>
      <w:r>
        <w:t>5.4 Particle Counting Workflow</w:t>
      </w:r>
    </w:p>
    <w:p>
      <w:r>
        <w:t>The Stage 1 particle-counting workflow is config-driven.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follow the same operation family available in the Gwyddion environment. Python-side logic is used only where the workflow requires explicit, reproducible calculations not available as a single Gwyddion GUI action, such as threshold-resolution bookkeeping, diameter conversion, and the final isolation-distance check.</w:t>
      </w:r>
    </w:p>
    <w:p>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-&gt; Plane Level -&gt; Align Rows -&gt; Median background -&gt; Median(3)</w:t>
            </w:r>
          </w:p>
        </w:tc>
        <w:tc>
          <w:tcPr>
            <w:tcW w:type="dxa" w:w="2880"/>
          </w:tcPr>
          <w:p>
            <w:r>
              <w:t>Suppress scan-line artefacts and remove background using a median-based leveling route.</w:t>
            </w:r>
          </w:p>
        </w:tc>
      </w:tr>
      <w:tr>
        <w:tc>
          <w:tcPr>
            <w:tcW w:type="dxa" w:w="2880"/>
          </w:tcPr>
          <w:p>
            <w:r>
              <w:t>Flatten base</w:t>
            </w:r>
          </w:p>
        </w:tc>
        <w:tc>
          <w:tcPr>
            <w:tcW w:type="dxa" w:w="2880"/>
          </w:tcPr>
          <w:p>
            <w:r>
              <w:t>Align Rows -&gt; Plane Level -&gt; Align Rows -&gt; Flatten Base -&gt; Median(3)</w:t>
            </w:r>
          </w:p>
        </w:tc>
        <w:tc>
          <w:tcPr>
            <w:tcW w:type="dxa" w:w="2880"/>
          </w:tcPr>
          <w:p>
            <w:r>
              <w:t>Suppress scan-line artefacts and remove background using a flatten-base route.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Active job</w:t>
            </w:r>
          </w:p>
        </w:tc>
        <w:tc>
          <w:tcPr>
            <w:tcW w:type="dxa" w:w="2160"/>
          </w:tcPr>
          <w:p>
            <w:r>
              <w:t>Preprocessing family</w:t>
            </w:r>
          </w:p>
        </w:tc>
        <w:tc>
          <w:tcPr>
            <w:tcW w:type="dxa" w:w="2160"/>
          </w:tcPr>
          <w:p>
            <w:r>
              <w:t>Threshold strategy</w:t>
            </w:r>
          </w:p>
        </w:tc>
        <w:tc>
          <w:tcPr>
            <w:tcW w:type="dxa" w:w="2160"/>
          </w:tcPr>
          <w:p>
            <w:r>
              <w:t>Threshold parameters</w:t>
            </w:r>
          </w:p>
        </w:tc>
      </w:tr>
      <w:tr>
        <w:tc>
          <w:tcPr>
            <w:tcW w:type="dxa" w:w="2160"/>
          </w:tcPr>
          <w:p>
            <w:r>
              <w:t>particle_forward_medianbg_mean</w:t>
            </w:r>
          </w:p>
        </w:tc>
        <w:tc>
          <w:tcPr>
            <w:tcW w:type="dxa" w:w="2160"/>
          </w:tcPr>
          <w:p>
            <w:r>
              <w:t>Median background</w:t>
            </w:r>
          </w:p>
        </w:tc>
        <w:tc>
          <w:tcPr>
            <w:tcW w:type="dxa" w:w="2160"/>
          </w:tcPr>
          <w:p>
            <w:r>
              <w:t>mean</w:t>
            </w:r>
          </w:p>
        </w:tc>
        <w:tc>
          <w:tcPr>
            <w:tcW w:type="dxa" w:w="2160"/>
          </w:tcPr>
          <w:p>
            <w:r>
              <w:t>mean(processed field)</w:t>
            </w:r>
          </w:p>
        </w:tc>
      </w:tr>
      <w:tr>
        <w:tc>
          <w:tcPr>
            <w:tcW w:type="dxa" w:w="2160"/>
          </w:tcPr>
          <w:p>
            <w:r>
              <w:t>particle_forward_medianbg_fixed0</w:t>
            </w:r>
          </w:p>
        </w:tc>
        <w:tc>
          <w:tcPr>
            <w:tcW w:type="dxa" w:w="2160"/>
          </w:tcPr>
          <w:p>
            <w:r>
              <w:t>Median background</w:t>
            </w:r>
          </w:p>
        </w:tc>
        <w:tc>
          <w:tcPr>
            <w:tcW w:type="dxa" w:w="2160"/>
          </w:tcPr>
          <w:p>
            <w:r>
              <w:t>fixed</w:t>
            </w:r>
          </w:p>
        </w:tc>
        <w:tc>
          <w:tcPr>
            <w:tcW w:type="dxa" w:w="2160"/>
          </w:tcPr>
          <w:p>
            <w:r>
              <w:t>threshold_fixed = 0.0</w:t>
            </w:r>
          </w:p>
        </w:tc>
      </w:tr>
      <w:tr>
        <w:tc>
          <w:tcPr>
            <w:tcW w:type="dxa" w:w="2160"/>
          </w:tcPr>
          <w:p>
            <w:r>
              <w:t>particle_forward_medianbg_p95</w:t>
            </w:r>
          </w:p>
        </w:tc>
        <w:tc>
          <w:tcPr>
            <w:tcW w:type="dxa" w:w="2160"/>
          </w:tcPr>
          <w:p>
            <w:r>
              <w:t>Median background</w:t>
            </w:r>
          </w:p>
        </w:tc>
        <w:tc>
          <w:tcPr>
            <w:tcW w:type="dxa" w:w="2160"/>
          </w:tcPr>
          <w:p>
            <w:r>
              <w:t>percentile</w:t>
            </w:r>
          </w:p>
        </w:tc>
        <w:tc>
          <w:tcPr>
            <w:tcW w:type="dxa" w:w="2160"/>
          </w:tcPr>
          <w:p>
            <w:r>
              <w:t>threshold_percentile = 95</w:t>
            </w:r>
          </w:p>
        </w:tc>
      </w:tr>
      <w:tr>
        <w:tc>
          <w:tcPr>
            <w:tcW w:type="dxa" w:w="2160"/>
          </w:tcPr>
          <w:p>
            <w:r>
              <w:t>particle_forward_medianbg_max_fixed0_p95</w:t>
            </w:r>
          </w:p>
        </w:tc>
        <w:tc>
          <w:tcPr>
            <w:tcW w:type="dxa" w:w="2160"/>
          </w:tcPr>
          <w:p>
            <w:r>
              <w:t>Median background</w:t>
            </w:r>
          </w:p>
        </w:tc>
        <w:tc>
          <w:tcPr>
            <w:tcW w:type="dxa" w:w="2160"/>
          </w:tcPr>
          <w:p>
            <w:r>
              <w:t>max</w:t>
            </w:r>
          </w:p>
        </w:tc>
        <w:tc>
          <w:tcPr>
            <w:tcW w:type="dxa" w:w="2160"/>
          </w:tcPr>
          <w:p>
            <w:r>
              <w:t>max(mean, 0.0, p95)</w:t>
            </w:r>
          </w:p>
        </w:tc>
      </w:tr>
      <w:tr>
        <w:tc>
          <w:tcPr>
            <w:tcW w:type="dxa" w:w="2160"/>
          </w:tcPr>
          <w:p>
            <w:r>
              <w:t>particle_forward_flatten_mean</w:t>
            </w:r>
          </w:p>
        </w:tc>
        <w:tc>
          <w:tcPr>
            <w:tcW w:type="dxa" w:w="2160"/>
          </w:tcPr>
          <w:p>
            <w:r>
              <w:t>Flatten base</w:t>
            </w:r>
          </w:p>
        </w:tc>
        <w:tc>
          <w:tcPr>
            <w:tcW w:type="dxa" w:w="2160"/>
          </w:tcPr>
          <w:p>
            <w:r>
              <w:t>mean</w:t>
            </w:r>
          </w:p>
        </w:tc>
        <w:tc>
          <w:tcPr>
            <w:tcW w:type="dxa" w:w="2160"/>
          </w:tcPr>
          <w:p>
            <w:r>
              <w:t>mean(processed field)</w:t>
            </w:r>
          </w:p>
        </w:tc>
      </w:tr>
      <w:tr>
        <w:tc>
          <w:tcPr>
            <w:tcW w:type="dxa" w:w="2160"/>
          </w:tcPr>
          <w:p>
            <w:r>
              <w:t>particle_forward_flatten_fixed0</w:t>
            </w:r>
          </w:p>
        </w:tc>
        <w:tc>
          <w:tcPr>
            <w:tcW w:type="dxa" w:w="2160"/>
          </w:tcPr>
          <w:p>
            <w:r>
              <w:t>Flatten base</w:t>
            </w:r>
          </w:p>
        </w:tc>
        <w:tc>
          <w:tcPr>
            <w:tcW w:type="dxa" w:w="2160"/>
          </w:tcPr>
          <w:p>
            <w:r>
              <w:t>fixed</w:t>
            </w:r>
          </w:p>
        </w:tc>
        <w:tc>
          <w:tcPr>
            <w:tcW w:type="dxa" w:w="2160"/>
          </w:tcPr>
          <w:p>
            <w:r>
              <w:t>threshold_fixed = 0.0</w:t>
            </w:r>
          </w:p>
        </w:tc>
      </w:tr>
      <w:tr>
        <w:tc>
          <w:tcPr>
            <w:tcW w:type="dxa" w:w="2160"/>
          </w:tcPr>
          <w:p>
            <w:r>
              <w:t>particle_forward_flatten_p95</w:t>
            </w:r>
          </w:p>
        </w:tc>
        <w:tc>
          <w:tcPr>
            <w:tcW w:type="dxa" w:w="2160"/>
          </w:tcPr>
          <w:p>
            <w:r>
              <w:t>Flatten base</w:t>
            </w:r>
          </w:p>
        </w:tc>
        <w:tc>
          <w:tcPr>
            <w:tcW w:type="dxa" w:w="2160"/>
          </w:tcPr>
          <w:p>
            <w:r>
              <w:t>percentile</w:t>
            </w:r>
          </w:p>
        </w:tc>
        <w:tc>
          <w:tcPr>
            <w:tcW w:type="dxa" w:w="2160"/>
          </w:tcPr>
          <w:p>
            <w:r>
              <w:t>threshold_percentile = 95</w:t>
            </w:r>
          </w:p>
        </w:tc>
      </w:tr>
      <w:tr>
        <w:tc>
          <w:tcPr>
            <w:tcW w:type="dxa" w:w="2160"/>
          </w:tcPr>
          <w:p>
            <w:r>
              <w:t>particle_forward_flatten_max_fixed0_p95</w:t>
            </w:r>
          </w:p>
        </w:tc>
        <w:tc>
          <w:tcPr>
            <w:tcW w:type="dxa" w:w="2160"/>
          </w:tcPr>
          <w:p>
            <w:r>
              <w:t>Flatten base</w:t>
            </w:r>
          </w:p>
        </w:tc>
        <w:tc>
          <w:tcPr>
            <w:tcW w:type="dxa" w:w="2160"/>
          </w:tcPr>
          <w:p>
            <w:r>
              <w:t>max</w:t>
            </w:r>
          </w:p>
        </w:tc>
        <w:tc>
          <w:tcPr>
            <w:tcW w:type="dxa" w:w="2160"/>
          </w:tcPr>
          <w:p>
            <w:r>
              <w:t>max(mean, 0.0, p95)</w:t>
            </w:r>
          </w:p>
        </w:tc>
      </w:tr>
    </w:tbl>
    <w:tbl>
      <w:tblPr>
        <w:tblStyle w:val="TableGrid"/>
        <w:tblW w:type="auto" w:w="0"/>
        <w:tblLook w:firstColumn="1" w:firstRow="1" w:lastColumn="0" w:lastRow="0" w:noHBand="0" w:noVBand="1" w:val="04A0"/>
      </w:tblPr>
      <w:tblGrid>
        <w:gridCol w:w="4320"/>
        <w:gridCol w:w="4320"/>
      </w:tblGrid>
      <w:tr>
        <w:tc>
          <w:tcPr>
            <w:tcW w:type="dxa" w:w="4320"/>
          </w:tcPr>
          <w:p>
            <w:r>
              <w:t>Active default / setting</w:t>
            </w:r>
          </w:p>
        </w:tc>
        <w:tc>
          <w:tcPr>
            <w:tcW w:type="dxa" w:w="4320"/>
          </w:tcPr>
          <w:p>
            <w:r>
              <w:t>Value used in current reported workflow</w:t>
            </w:r>
          </w:p>
        </w:tc>
      </w:tr>
      <w:tr>
        <w:tc>
          <w:tcPr>
            <w:tcW w:type="dxa" w:w="4320"/>
          </w:tcPr>
          <w:p>
            <w:r>
              <w:t>Scan size</w:t>
            </w:r>
          </w:p>
        </w:tc>
        <w:tc>
          <w:tcPr>
            <w:tcW w:type="dxa" w:w="4320"/>
          </w:tcPr>
          <w:p>
            <w:r>
              <w:t>5 um x 5 um per scan</w:t>
            </w:r>
          </w:p>
        </w:tc>
      </w:tr>
      <w:tr>
        <w:tc>
          <w:tcPr>
            <w:tcW w:type="dxa" w:w="4320"/>
          </w:tcPr>
          <w:p>
            <w:r>
              <w:t>Nominal pixel grid</w:t>
            </w:r>
          </w:p>
        </w:tc>
        <w:tc>
          <w:tcPr>
            <w:tcW w:type="dxa" w:w="4320"/>
          </w:tcPr>
          <w:p>
            <w:r>
              <w:t>512 x 512 pixels</w:t>
            </w:r>
          </w:p>
        </w:tc>
      </w:tr>
      <w:tr>
        <w:tc>
          <w:tcPr>
            <w:tcW w:type="dxa" w:w="4320"/>
          </w:tcPr>
          <w:p>
            <w:r>
              <w:t>Row alignment</w:t>
            </w:r>
          </w:p>
        </w:tc>
        <w:tc>
          <w:tcPr>
            <w:tcW w:type="dxa" w:w="4320"/>
          </w:tcPr>
          <w:p>
            <w:r>
              <w:t>Horizontal Align Rows, median method</w:t>
            </w:r>
          </w:p>
        </w:tc>
      </w:tr>
      <w:tr>
        <w:tc>
          <w:tcPr>
            <w:tcW w:type="dxa" w:w="4320"/>
          </w:tcPr>
          <w:p>
            <w:r>
              <w:t>Plane leveling</w:t>
            </w:r>
          </w:p>
        </w:tc>
        <w:tc>
          <w:tcPr>
            <w:tcW w:type="dxa" w:w="4320"/>
          </w:tcPr>
          <w:p>
            <w:r>
              <w:t>Applied before the route-specific background step</w:t>
            </w:r>
          </w:p>
        </w:tc>
      </w:tr>
      <w:tr>
        <w:tc>
          <w:tcPr>
            <w:tcW w:type="dxa" w:w="4320"/>
          </w:tcPr>
          <w:p>
            <w:r>
              <w:t>Median filter size</w:t>
            </w:r>
          </w:p>
        </w:tc>
        <w:tc>
          <w:tcPr>
            <w:tcW w:type="dxa" w:w="4320"/>
          </w:tcPr>
          <w:p>
            <w:r>
              <w:t>3 pixels</w:t>
            </w:r>
          </w:p>
        </w:tc>
      </w:tr>
      <w:tr>
        <w:tc>
          <w:tcPr>
            <w:tcW w:type="dxa" w:w="4320"/>
          </w:tcPr>
          <w:p>
            <w:r>
              <w:t>Diameter band</w:t>
            </w:r>
          </w:p>
        </w:tc>
        <w:tc>
          <w:tcPr>
            <w:tcW w:type="dxa" w:w="4320"/>
          </w:tcPr>
          <w:p>
            <w:r>
              <w:t>Use the active config value for the reported run; e.g., the corrected rerun uses 250-550 nm</w:t>
            </w:r>
          </w:p>
        </w:tc>
      </w:tr>
      <w:tr>
        <w:tc>
          <w:tcPr>
            <w:tcW w:type="dxa" w:w="4320"/>
          </w:tcPr>
          <w:p>
            <w:r>
              <w:t>Isolation distance</w:t>
            </w:r>
          </w:p>
        </w:tc>
        <w:tc>
          <w:tcPr>
            <w:tcW w:type="dxa" w:w="4320"/>
          </w:tcPr>
          <w:p>
            <w:r>
              <w:t>900 nm minimum center-to-center distance</w:t>
            </w:r>
          </w:p>
        </w:tc>
      </w:tr>
      <w:tr>
        <w:tc>
          <w:tcPr>
            <w:tcW w:type="dxa" w:w="4320"/>
          </w:tcPr>
          <w:p>
            <w:r>
              <w:t>Edge exclusion</w:t>
            </w:r>
          </w:p>
        </w:tc>
        <w:tc>
          <w:tcPr>
            <w:tcW w:type="dxa" w:w="4320"/>
          </w:tcPr>
          <w:p>
            <w:r>
              <w:t>Enabled; grains intersecting the image border are removed</w:t>
            </w:r>
          </w:p>
        </w:tc>
      </w:tr>
      <w:tr>
        <w:tc>
          <w:tcPr>
            <w:tcW w:type="dxa" w:w="4320"/>
          </w:tcPr>
          <w:p>
            <w:r>
              <w:t>Particle export</w:t>
            </w:r>
          </w:p>
        </w:tc>
        <w:tc>
          <w:tcPr>
            <w:tcW w:type="dxa" w:w="4320"/>
          </w:tcPr>
          <w:p>
            <w:r>
              <w:t>Enabled</w:t>
            </w:r>
          </w:p>
        </w:tc>
      </w:tr>
      <w:tr>
        <w:tc>
          <w:tcPr>
            <w:tcW w:type="dxa" w:w="4320"/>
          </w:tcPr>
          <w:p>
            <w:r>
              <w:t>Particle mask export</w:t>
            </w:r>
          </w:p>
        </w:tc>
        <w:tc>
          <w:tcPr>
            <w:tcW w:type="dxa" w:w="4320"/>
          </w:tcPr>
          <w:p>
            <w:r>
              <w:t>Enabled; review-only mask panels retained where configured</w:t>
            </w:r>
          </w:p>
        </w:tc>
      </w:tr>
      <w:tr>
        <w:tc>
          <w:tcPr>
            <w:tcW w:type="dxa" w:w="4320"/>
          </w:tcPr>
          <w:p>
            <w:r>
              <w:t>Grain export</w:t>
            </w:r>
          </w:p>
        </w:tc>
        <w:tc>
          <w:tcPr>
            <w:tcW w:type="dxa" w:w="4320"/>
          </w:tcPr>
          <w:p>
            <w:r>
              <w:t>Enabled with per-grain geometric/property quantities</w:t>
            </w:r>
          </w:p>
        </w:tc>
      </w:tr>
    </w:tbl>
    <w:p>
      <w:r>
        <w:t>After preprocessing, a thresholded mask is generated on the processed height field and passed to Gwyddion grain labeling. The raw segmented grain count obtained at this stage is reported as count_total_raw. Each grain is then converted to an equivalent circular diameter, filtered by the active diameter band, and checked for image-edge contact. The retained candidate count after those filters is reported as count_total_filtered. Finally, the retained grains are subjected to the isolation rule, producing count_isolated. The per-scan exports therefore preserve the entire progression from raw segmentation to isolated candidates rather than only the final count.</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isolation-distance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(mean, fixed 0, percentile, or combined maximum).</w:t>
            </w:r>
          </w:p>
        </w:tc>
      </w:tr>
    </w:tbl>
    <w:p>
      <w:r>
        <w:t>The current threshold routes are: mean threshold, fixed zero threshold, percentile-95 threshold, and a combined maximum threshold defined as max(mean, 0.0, p95). These routes are treated as controlled sensitivity variations within the same Stage 1 framework rather than as separate experimental programs.</w:t>
      </w:r>
    </w:p>
    <w:p>
      <w:pPr>
        <w:pStyle w:val="Heading1"/>
      </w:pPr>
      <w:r>
        <w:t>5.2 Diameter Filtering</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 * sqrt(A_px / pi)</w:t>
      </w:r>
    </w:p>
    <w:p>
      <w:r>
        <w:t>Diameter conversion to nanometers:</w:t>
      </w:r>
    </w:p>
    <w:p>
      <w:r>
        <w:t>d_eq,nm = d_eq,px * p_nm</w:t>
      </w:r>
    </w:p>
    <w:p>
      <w:r>
        <w:t>where A_px is the grain area in pixels and p_nm is the lateral size of one pixel in nanometers. The active diameter band must always be taken from the run config used to generate the dataset. Earlier comparison runs used 350-550 nm, while the current corrected rerun uses 250-550 nm. The thesis text should therefore state the band actually used for the specific generated outputs being discussed.</w:t>
      </w:r>
    </w:p>
    <w:p>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p>
    <w:p>
      <w:pPr>
        <w:pStyle w:val="Heading1"/>
      </w:pPr>
      <w:r>
        <w:t>5.3 Isolation Criteria</w:t>
      </w:r>
    </w:p>
    <w:p>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r>
        <w:t>Isolation rule:</w:t>
      </w:r>
    </w:p>
    <w:p>
      <w:r>
        <w:t>min(d_ij) &gt;= 900 nm</w:t>
      </w:r>
    </w:p>
    <w:p>
      <w:r>
        <w:t>where d_ij is the center-to-center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p>
    <w:p>
      <w:pPr>
        <w:pStyle w:val="Heading1"/>
      </w:pPr>
      <w:r>
        <w:t>5.4 Isolation Probability Modeling</w:t>
      </w:r>
    </w:p>
    <w:p>
      <w:r>
        <w:t>The isolated-particle count per scan is treated as the primary random variable for the Stage 1 scan-sufficiency model. Let X_i denote the isolated-particle count in scan i and let S_n = sum(X_i) denote the accumulated number of isolated particles obtained after n scans. In the baseline formulation used here, the isolated count per scan is modeled with a Poisson process having mean lambda.</w:t>
      </w:r>
    </w:p>
    <w:p>
      <w:r>
        <w:t>Poisson baseline:</w:t>
      </w:r>
    </w:p>
    <w:p>
      <w:r>
        <w:t>X_i ~ Poisson(lambda)</w:t>
      </w:r>
    </w:p>
    <w:p>
      <w:r>
        <w:t>S_n ~ Poisson(n * lambda)</w:t>
      </w:r>
    </w:p>
    <w:p>
      <w:r>
        <w:t>This model is used as a practical count model for Stage 1 feasibility. Its role is not to claim a perfect microscopic physical model of particle occurrence, but to provide a reproducible way to translate observed isolated-particle frequency into a scan budget and a zero-yield risk estimate. The corresponding contrapositive question is the probability of scanning n regions and still obtaining zero isolated particles, which provides an operational risk metric for unproductive scan effort.</w:t>
      </w:r>
    </w:p>
    <w:p>
      <w:pPr>
        <w:pStyle w:val="Heading1"/>
      </w:pPr>
      <w:r>
        <w:t>5.5 Required Map Count for 95% Confidence</w:t>
      </w:r>
    </w:p>
    <w:p>
      <w:r>
        <w:t>The thesis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&gt;= T) &gt;= q</w:t>
      </w:r>
    </w:p>
    <w:p>
      <w:r>
        <w:t>In the present work, the central reporting threshold is q = 0.95. This is the quantity later reported in Chapter 6 as the required scan count for 95% confidence. The reported result is therefore confidence-based and should not be reduced to the intuition shortcut N/p. The N/p form is useful only as a rough heuristic when discussing how a future Stage 2 confirmation fraction would scale the required scan effort.</w:t>
      </w:r>
    </w:p>
    <w:p>
      <w:pPr>
        <w:pStyle w:val="Heading1"/>
      </w:pPr>
      <w:r>
        <w:t>5.6 Processing-Route Validation</w:t>
      </w:r>
    </w:p>
    <w:p>
      <w:r>
        <w:t>Processing-route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particle-counting framework.</w:t>
      </w:r>
    </w:p>
    <w:p>
      <w:r>
        <w:t>A second route-consistency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method-selection basis for restricting the present topography workflow to forward scans only.</w:t>
      </w:r>
    </w:p>
    <w:p>
      <w:r>
        <w:t>The present thesis therefore treats route validation in two layers: directional consistency from prior modulus comparison work, and within-topography consistency across the controlled preprocessing and threshold routes defined in the Stage 1 job matrix. The quantitative route-comparison outcomes themselves are deferred to Chapter 6. A manual Gwyddion GUI parity SOP is retained only as an appendix verification artifact and is not part of the primary numbered Chapter 5 method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