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17:33</w:t>
      </w:r>
    </w:p>
    <w:p>
      <w:r>
        <w:t>Scope: measurement feasibility, scan efficiency, and decision thresholds only.</w:t>
      </w:r>
    </w:p>
    <w:p>
      <w:pPr>
        <w:pStyle w:val="Heading1"/>
      </w:pPr>
      <w:r>
        <w:t>6.1 Processing Validation - Baseline PEGDA (No SiNP)</w:t>
      </w:r>
    </w:p>
    <w:p>
      <w:r>
        <w:t>Baseline validation still depends on the topo-only PEGDA rerun for a direct false-positive bound. For this draft, the workflow credibility argument rests on the completed method-validation work and the consistency of the completed Stage 1 outputs.</w:t>
      </w:r>
    </w:p>
    <w:p>
      <w:r>
        <w:t>Figure 6.1 gives an early orienting summary so the chapter does not open without a figure.</w:t>
      </w:r>
    </w:p>
    <w:p>
      <w:r>
        <w:drawing>
          <wp:inline xmlns:a="http://schemas.openxmlformats.org/drawingml/2006/main" xmlns:pic="http://schemas.openxmlformats.org/drawingml/2006/picture">
            <wp:extent cx="5394960" cy="3443034"/>
            <wp:docPr id="1" name="Picture 1"/>
            <wp:cNvGraphicFramePr>
              <a:graphicFrameLocks noChangeAspect="1"/>
            </wp:cNvGraphicFramePr>
            <a:graphic>
              <a:graphicData uri="http://schemas.openxmlformats.org/drawingml/2006/picture">
                <pic:pic>
                  <pic:nvPicPr>
                    <pic:cNvPr id="0" name="chapter6_stage1_overview.png"/>
                    <pic:cNvPicPr/>
                  </pic:nvPicPr>
                  <pic:blipFill>
                    <a:blip r:embed="rId9"/>
                    <a:stretch>
                      <a:fillRect/>
                    </a:stretch>
                  </pic:blipFill>
                  <pic:spPr>
                    <a:xfrm>
                      <a:off x="0" y="0"/>
                      <a:ext cx="5394960" cy="3443034"/>
                    </a:xfrm>
                    <a:prstGeom prst="rect"/>
                  </pic:spPr>
                </pic:pic>
              </a:graphicData>
            </a:graphic>
          </wp:inline>
        </w:drawing>
      </w:r>
    </w:p>
    <w:p>
      <w:r>
        <w:t>Figure 6.1 -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6.1 -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fig_particle_count_hist.png"/>
                    <pic:cNvPicPr/>
                  </pic:nvPicPr>
                  <pic:blipFill>
                    <a:blip r:embed="rId11"/>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5" name="Picture 5"/>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3"/>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6" name="Picture 6"/>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1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7" name="Picture 7"/>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1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8" name="Picture 8"/>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1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9" name="Picture 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0" name="Picture 10"/>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1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1" name="Picture 11"/>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1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1"/>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4" name="Picture 14"/>
            <wp:cNvGraphicFramePr>
              <a:graphicFrameLocks noChangeAspect="1"/>
            </wp:cNvGraphicFramePr>
            <a:graphic>
              <a:graphicData uri="http://schemas.openxmlformats.org/drawingml/2006/picture">
                <pic:pic>
                  <pic:nvPicPr>
                    <pic:cNvPr id="0" name="fig_particle_diameter_hist.png"/>
                    <pic:cNvPicPr/>
                  </pic:nvPicPr>
                  <pic:blipFill>
                    <a:blip r:embed="rId22"/>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5" name="Picture 15"/>
            <wp:cNvGraphicFramePr>
              <a:graphicFrameLocks noChangeAspect="1"/>
            </wp:cNvGraphicFramePr>
            <a:graphic>
              <a:graphicData uri="http://schemas.openxmlformats.org/drawingml/2006/picture">
                <pic:pic>
                  <pic:nvPicPr>
                    <pic:cNvPr id="0" name="fig_particle_diameter_hist.png"/>
                    <pic:cNvPicPr/>
                  </pic:nvPicPr>
                  <pic:blipFill>
                    <a:blip r:embed="rId23"/>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6.4 -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isolated_count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isolated_count_hist.png"/>
                    <pic:cNvPicPr/>
                  </pic:nvPicPr>
                  <pic:blipFill>
                    <a:blip r:embed="rId25"/>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8" name="Picture 18"/>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6"/>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9" name="Picture 19"/>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7"/>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0" name="Picture 20"/>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2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1" name="Picture 21"/>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2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2" name="Picture 22"/>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3" name="Picture 23"/>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4" name="Picture 24"/>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5" name="Picture 25"/>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1"/>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6.5 -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3.104</w:t>
            </w:r>
          </w:p>
        </w:tc>
        <w:tc>
          <w:tcPr>
            <w:tcW w:type="dxa" w:w="1728"/>
          </w:tcPr>
          <w:p>
            <w:r>
              <w:t>8.0%</w:t>
            </w:r>
          </w:p>
        </w:tc>
        <w:tc>
          <w:tcPr>
            <w:tcW w:type="dxa" w:w="1728"/>
          </w:tcPr>
          <w:p>
            <w:r>
              <w:t>13</w:t>
            </w:r>
          </w:p>
        </w:tc>
        <w:tc>
          <w:tcPr>
            <w:tcW w:type="dxa" w:w="1728"/>
          </w:tcPr>
          <w:p>
            <w:r>
              <w:t>386</w:t>
            </w:r>
          </w:p>
        </w:tc>
      </w:tr>
      <w:tr>
        <w:tc>
          <w:tcPr>
            <w:tcW w:type="dxa" w:w="1728"/>
          </w:tcPr>
          <w:p>
            <w:r>
              <w:t>25 wt% SiNP</w:t>
            </w:r>
          </w:p>
        </w:tc>
        <w:tc>
          <w:tcPr>
            <w:tcW w:type="dxa" w:w="1728"/>
          </w:tcPr>
          <w:p>
            <w:r>
              <w:t>3.045</w:t>
            </w:r>
          </w:p>
        </w:tc>
        <w:tc>
          <w:tcPr>
            <w:tcW w:type="dxa" w:w="1728"/>
          </w:tcPr>
          <w:p>
            <w:r>
              <w:t>6.4%</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6.6 -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41 scans and from 13 to 48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6.7 -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41</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42</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42</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48</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47</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47</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28" name="Picture 28"/>
            <wp:cNvGraphicFramePr>
              <a:graphicFrameLocks noChangeAspect="1"/>
            </wp:cNvGraphicFramePr>
            <a:graphic>
              <a:graphicData uri="http://schemas.openxmlformats.org/drawingml/2006/picture">
                <pic:pic>
                  <pic:nvPicPr>
                    <pic:cNvPr id="0" name="fig_isolated_count_mean_by_job_10pct.png"/>
                    <pic:cNvPicPr/>
                  </pic:nvPicPr>
                  <pic:blipFill>
                    <a:blip r:embed="rId34"/>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29" name="Picture 29"/>
            <wp:cNvGraphicFramePr>
              <a:graphicFrameLocks noChangeAspect="1"/>
            </wp:cNvGraphicFramePr>
            <a:graphic>
              <a:graphicData uri="http://schemas.openxmlformats.org/drawingml/2006/picture">
                <pic:pic>
                  <pic:nvPicPr>
                    <pic:cNvPr id="0" name="fig_isolated_count_mean_by_job_25pct.png"/>
                    <pic:cNvPicPr/>
                  </pic:nvPicPr>
                  <pic:blipFill>
                    <a:blip r:embed="rId35"/>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0" name="Picture 30"/>
            <wp:cNvGraphicFramePr>
              <a:graphicFrameLocks noChangeAspect="1"/>
            </wp:cNvGraphicFramePr>
            <a:graphic>
              <a:graphicData uri="http://schemas.openxmlformats.org/drawingml/2006/picture">
                <pic:pic>
                  <pic:nvPicPr>
                    <pic:cNvPr id="0" name="risk_aggregate_wt_percent_10_poisson.png"/>
                    <pic:cNvPicPr/>
                  </pic:nvPicPr>
                  <pic:blipFill>
                    <a:blip r:embed="rId36"/>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1" name="Picture 31"/>
            <wp:cNvGraphicFramePr>
              <a:graphicFrameLocks noChangeAspect="1"/>
            </wp:cNvGraphicFramePr>
            <a:graphic>
              <a:graphicData uri="http://schemas.openxmlformats.org/drawingml/2006/picture">
                <pic:pic>
                  <pic:nvPicPr>
                    <pic:cNvPr id="0" name="risk_aggregate_wt_percent_25_poisson.png"/>
                    <pic:cNvPicPr/>
                  </pic:nvPicPr>
                  <pic:blipFill>
                    <a:blip r:embed="rId37"/>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6.8 -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3.104</w:t>
            </w:r>
          </w:p>
        </w:tc>
        <w:tc>
          <w:tcPr>
            <w:tcW w:type="dxa" w:w="2160"/>
          </w:tcPr>
          <w:p>
            <w:r>
              <w:t>386</w:t>
            </w:r>
          </w:p>
        </w:tc>
        <w:tc>
          <w:tcPr>
            <w:tcW w:type="dxa" w:w="2160"/>
          </w:tcPr>
          <w:p>
            <w:r>
              <w:t>0.033</w:t>
            </w:r>
          </w:p>
        </w:tc>
      </w:tr>
      <w:tr>
        <w:tc>
          <w:tcPr>
            <w:tcW w:type="dxa" w:w="2160"/>
          </w:tcPr>
          <w:p>
            <w:r>
              <w:t>25 wt% SiNP</w:t>
            </w:r>
          </w:p>
        </w:tc>
        <w:tc>
          <w:tcPr>
            <w:tcW w:type="dxa" w:w="2160"/>
          </w:tcPr>
          <w:p>
            <w:r>
              <w:t>3.045</w:t>
            </w:r>
          </w:p>
        </w:tc>
        <w:tc>
          <w:tcPr>
            <w:tcW w:type="dxa" w:w="2160"/>
          </w:tcPr>
          <w:p>
            <w:r>
              <w:t>404</w:t>
            </w:r>
          </w:p>
        </w:tc>
        <w:tc>
          <w:tcPr>
            <w:tcW w:type="dxa" w:w="2160"/>
          </w:tcPr>
          <w:p>
            <w:r>
              <w:t>0.032</w:t>
            </w:r>
          </w:p>
        </w:tc>
      </w:tr>
    </w:tbl>
    <w:p>
      <w:r>
        <w:drawing>
          <wp:inline xmlns:a="http://schemas.openxmlformats.org/drawingml/2006/main" xmlns:pic="http://schemas.openxmlformats.org/drawingml/2006/picture">
            <wp:extent cx="6035040" cy="2518973"/>
            <wp:docPr id="32" name="Picture 32"/>
            <wp:cNvGraphicFramePr>
              <a:graphicFrameLocks noChangeAspect="1"/>
            </wp:cNvGraphicFramePr>
            <a:graphic>
              <a:graphicData uri="http://schemas.openxmlformats.org/drawingml/2006/picture">
                <pic:pic>
                  <pic:nvPicPr>
                    <pic:cNvPr id="0" name="chapter6_crossover_by_method.png"/>
                    <pic:cNvPicPr/>
                  </pic:nvPicPr>
                  <pic:blipFill>
                    <a:blip r:embed="rId38"/>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