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19:46</w:t>
      </w:r>
    </w:p>
    <w:p>
      <w:r>
        <w:t>Scope: measurement feasibility, scan efficiency, and decision thresholds only.</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forward/backward agreement by method, while the absolute-modulus bars show method-level forward and backward modulus summaries with standard-error bars.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heatmap_two_panel__delta_vs_baseline__raw_chauvenet.png"/>
                    <pic:cNvPicPr/>
                  </pic:nvPicPr>
                  <pic:blipFill>
                    <a:blip r:embed="rId14"/>
                    <a:stretch>
                      <a:fillRect/>
                    </a:stretch>
                  </pic:blipFill>
                  <pic:spPr>
                    <a:xfrm>
                      <a:off x="0" y="0"/>
                      <a:ext cx="5029200" cy="2263140"/>
                    </a:xfrm>
                    <a:prstGeom prst="rect"/>
                  </pic:spPr>
                </pic:pic>
              </a:graphicData>
            </a:graphic>
          </wp:inline>
        </w:drawing>
      </w:r>
    </w:p>
    <w:p>
      <w:r>
        <w:t>Figure 6.1b - Forward and backward baseline PEGDA modulus heatmaps plus one representative delta-versus-baseline comparison heatmap. These plots show the spatial baseline field for each scan direction and one example of how a comparison route shifts the baseline modulus pattern.</w:t>
      </w:r>
    </w:p>
    <w:p>
      <w:r>
        <w:t>Source: out\method_compare\compare_20260306_180402\plots\heatmap_two_panel__baseline.png</w:t>
      </w:r>
    </w:p>
    <w:p>
      <w:r>
        <w:t>Source: out\method_compare\compare_20260306_180452\plots\heatmap_two_panel__baseline.png</w:t>
      </w:r>
    </w:p>
    <w:p>
      <w:r>
        <w:t>Source: out\method_compare\compare_20260306_180402\plots\heatmap_two_panel__delta_vs_baseline__raw_chauvenet.png</w:t>
      </w:r>
    </w:p>
    <w:p>
      <w:r>
        <w:drawing>
          <wp:inline xmlns:a="http://schemas.openxmlformats.org/drawingml/2006/main" xmlns:pic="http://schemas.openxmlformats.org/drawingml/2006/picture">
            <wp:extent cx="5394960" cy="3443034"/>
            <wp:docPr id="7" name="Picture 7"/>
            <wp:cNvGraphicFramePr>
              <a:graphicFrameLocks noChangeAspect="1"/>
            </wp:cNvGraphicFramePr>
            <a:graphic>
              <a:graphicData uri="http://schemas.openxmlformats.org/drawingml/2006/picture">
                <pic:pic>
                  <pic:nvPicPr>
                    <pic:cNvPr id="0" name="chapter6_stage1_overview.png"/>
                    <pic:cNvPicPr/>
                  </pic:nvPicPr>
                  <pic:blipFill>
                    <a:blip r:embed="rId15"/>
                    <a:stretch>
                      <a:fillRect/>
                    </a:stretch>
                  </pic:blipFill>
                  <pic:spPr>
                    <a:xfrm>
                      <a:off x="0" y="0"/>
                      <a:ext cx="5394960" cy="3443034"/>
                    </a:xfrm>
                    <a:prstGeom prst="rect"/>
                  </pic:spPr>
                </pic:pic>
              </a:graphicData>
            </a:graphic>
          </wp:inline>
        </w:drawing>
      </w:r>
    </w:p>
    <w:p>
      <w:r>
        <w:t>Figure 6.1c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rare in both sets (3.1% and 2.0%).</w:t>
      </w:r>
    </w:p>
    <w:p>
      <w:r>
        <w:t>The 25 wt% SiNP set showed a modest increase in candidate density relative to 10 wt% SiNP (0.94x),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particle_count_hist.png"/>
                    <pic:cNvPicPr/>
                  </pic:nvPicPr>
                  <pic:blipFill>
                    <a:blip r:embed="rId1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1" name="Picture 11"/>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9"/>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4572000" cy="3810000"/>
            <wp:docPr id="12" name="Picture 12"/>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3" name="Picture 13"/>
            <wp:cNvGraphicFramePr>
              <a:graphicFrameLocks noChangeAspect="1"/>
            </wp:cNvGraphicFramePr>
            <a:graphic>
              <a:graphicData uri="http://schemas.openxmlformats.org/drawingml/2006/picture">
                <pic:pic>
                  <pic:nvPicPr>
                    <pic:cNvPr id="0" name="fig_particle_count_grid_se_wt10_particle_forward_medianbg_mean.png"/>
                    <pic:cNvPicPr/>
                  </pic:nvPicPr>
                  <pic:blipFill>
                    <a:blip r:embed="rId2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4" name="Picture 14"/>
            <wp:cNvGraphicFramePr>
              <a:graphicFrameLocks noChangeAspect="1"/>
            </wp:cNvGraphicFramePr>
            <a:graphic>
              <a:graphicData uri="http://schemas.openxmlformats.org/drawingml/2006/picture">
                <pic:pic>
                  <pic:nvPicPr>
                    <pic:cNvPr id="0" name="fig_particle_count_grid_cv_wt10_particle_forward_medianbg_mean.png"/>
                    <pic:cNvPicPr/>
                  </pic:nvPicPr>
                  <pic:blipFill>
                    <a:blip r:embed="rId2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5" name="Picture 15"/>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6" name="Picture 16"/>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7" name="Picture 17"/>
            <wp:cNvGraphicFramePr>
              <a:graphicFrameLocks noChangeAspect="1"/>
            </wp:cNvGraphicFramePr>
            <a:graphic>
              <a:graphicData uri="http://schemas.openxmlformats.org/drawingml/2006/picture">
                <pic:pic>
                  <pic:nvPicPr>
                    <pic:cNvPr id="0" name="fig_particle_count_grid_se_wt25_particle_forward_medianbg_mean.png"/>
                    <pic:cNvPicPr/>
                  </pic:nvPicPr>
                  <pic:blipFill>
                    <a:blip r:embed="rId2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8" name="Picture 18"/>
            <wp:cNvGraphicFramePr>
              <a:graphicFrameLocks noChangeAspect="1"/>
            </wp:cNvGraphicFramePr>
            <a:graphic>
              <a:graphicData uri="http://schemas.openxmlformats.org/drawingml/2006/picture">
                <pic:pic>
                  <pic:nvPicPr>
                    <pic:cNvPr id="0" name="fig_particle_count_grid_cv_wt25_particle_forward_medianbg_mean.png"/>
                    <pic:cNvPicPr/>
                  </pic:nvPicPr>
                  <pic:blipFill>
                    <a:blip r:embed="rId2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9" name="Picture 19"/>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6.3b - Empirical uncertainty companions for the mean kept-particle heatmaps under the primary route. Standard-deviation maps show between-sample spread, standard-error maps show uncertainty in the estimated mean, coefficient-of-variation maps normalize variability by the local mean, and n-maps show the number of contributing sample sets at each scan position.</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OUT\run_grains_full_wt10_20260304_145519\summary_outputs\combined\fig_particle_count_grid_se_wt10_particle_forward_medianbg_mean.png</w:t>
      </w:r>
    </w:p>
    <w:p>
      <w:r>
        <w:t>Source: C:\Users\Conor O'Brien\Dropbox\03_AML\00 IN-BOX\AFM Topo Particle processing OUT\run_grains_full_wt10_20260304_145519\summary_outputs\combined\fig_particle_count_grid_cv_wt10_particle_forward_medianbg_mean.png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OUT\run_grains_full_wt25_20260304_145519\summary_outputs\combined\fig_particle_count_grid_std_wt25_particle_forward_medianbg_mean.png</w:t>
      </w:r>
    </w:p>
    <w:p>
      <w:r>
        <w:t>Source: C:\Users\Conor O'Brien\Dropbox\03_AML\00 IN-BOX\AFM Topo Particle processing OUT\run_grains_full_wt25_20260304_145519\summary_outputs\combined\fig_particle_count_grid_se_wt25_particle_forward_medianbg_mean.png</w:t>
      </w:r>
    </w:p>
    <w:p>
      <w:r>
        <w:t>Source: C:\Users\Conor O'Brien\Dropbox\03_AML\00 IN-BOX\AFM Topo Particle processing OUT\run_grains_full_wt25_20260304_145519\summary_outputs\combined\fig_particle_count_grid_cv_wt25_particle_forward_medianbg_mean.png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20" name="Picture 20"/>
            <wp:cNvGraphicFramePr>
              <a:graphicFrameLocks noChangeAspect="1"/>
            </wp:cNvGraphicFramePr>
            <a:graphic>
              <a:graphicData uri="http://schemas.openxmlformats.org/drawingml/2006/picture">
                <pic:pic>
                  <pic:nvPicPr>
                    <pic:cNvPr id="0" name="fig_particle_diameter_hist.png"/>
                    <pic:cNvPicPr/>
                  </pic:nvPicPr>
                  <pic:blipFill>
                    <a:blip r:embed="rId28"/>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1" name="Picture 21"/>
            <wp:cNvGraphicFramePr>
              <a:graphicFrameLocks noChangeAspect="1"/>
            </wp:cNvGraphicFramePr>
            <a:graphic>
              <a:graphicData uri="http://schemas.openxmlformats.org/drawingml/2006/picture">
                <pic:pic>
                  <pic:nvPicPr>
                    <pic:cNvPr id="0" name="fig_particle_diameter_hist.png"/>
                    <pic:cNvPicPr/>
                  </pic:nvPicPr>
                  <pic:blipFill>
                    <a:blip r:embed="rId29"/>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key result is that the higher-loading dataset did not produce a proportionally larger isolated-particle yield. Mean isolated counts remained close (3.10 versus 3.04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22" name="Picture 22"/>
            <wp:cNvGraphicFramePr>
              <a:graphicFrameLocks noChangeAspect="1"/>
            </wp:cNvGraphicFramePr>
            <a:graphic>
              <a:graphicData uri="http://schemas.openxmlformats.org/drawingml/2006/picture">
                <pic:pic>
                  <pic:nvPicPr>
                    <pic:cNvPr id="0" name="fig_isolated_count_hist.png"/>
                    <pic:cNvPicPr/>
                  </pic:nvPicPr>
                  <pic:blipFill>
                    <a:blip r:embed="rId3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3" name="Picture 23"/>
            <wp:cNvGraphicFramePr>
              <a:graphicFrameLocks noChangeAspect="1"/>
            </wp:cNvGraphicFramePr>
            <a:graphic>
              <a:graphicData uri="http://schemas.openxmlformats.org/drawingml/2006/picture">
                <pic:pic>
                  <pic:nvPicPr>
                    <pic:cNvPr id="0" name="fig_isolated_count_hist.png"/>
                    <pic:cNvPicPr/>
                  </pic:nvPicPr>
                  <pic:blipFill>
                    <a:blip r:embed="rId31"/>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4" name="Picture 24"/>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3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5" name="Picture 25"/>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33"/>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4572000" cy="3810000"/>
            <wp:docPr id="26" name="Picture 26"/>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7" name="Picture 27"/>
            <wp:cNvGraphicFramePr>
              <a:graphicFrameLocks noChangeAspect="1"/>
            </wp:cNvGraphicFramePr>
            <a:graphic>
              <a:graphicData uri="http://schemas.openxmlformats.org/drawingml/2006/picture">
                <pic:pic>
                  <pic:nvPicPr>
                    <pic:cNvPr id="0" name="fig_isolated_count_grid_se_wt10_particle_forward_medianbg_mean.png"/>
                    <pic:cNvPicPr/>
                  </pic:nvPicPr>
                  <pic:blipFill>
                    <a:blip r:embed="rId3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8" name="Picture 28"/>
            <wp:cNvGraphicFramePr>
              <a:graphicFrameLocks noChangeAspect="1"/>
            </wp:cNvGraphicFramePr>
            <a:graphic>
              <a:graphicData uri="http://schemas.openxmlformats.org/drawingml/2006/picture">
                <pic:pic>
                  <pic:nvPicPr>
                    <pic:cNvPr id="0" name="fig_isolated_count_grid_cv_wt10_particle_forward_medianbg_mean.png"/>
                    <pic:cNvPicPr/>
                  </pic:nvPicPr>
                  <pic:blipFill>
                    <a:blip r:embed="rId3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9" name="Picture 29"/>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0" name="Picture 30"/>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1" name="Picture 31"/>
            <wp:cNvGraphicFramePr>
              <a:graphicFrameLocks noChangeAspect="1"/>
            </wp:cNvGraphicFramePr>
            <a:graphic>
              <a:graphicData uri="http://schemas.openxmlformats.org/drawingml/2006/picture">
                <pic:pic>
                  <pic:nvPicPr>
                    <pic:cNvPr id="0" name="fig_isolated_count_grid_se_wt25_particle_forward_medianbg_mean.png"/>
                    <pic:cNvPicPr/>
                  </pic:nvPicPr>
                  <pic:blipFill>
                    <a:blip r:embed="rId3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2" name="Picture 32"/>
            <wp:cNvGraphicFramePr>
              <a:graphicFrameLocks noChangeAspect="1"/>
            </wp:cNvGraphicFramePr>
            <a:graphic>
              <a:graphicData uri="http://schemas.openxmlformats.org/drawingml/2006/picture">
                <pic:pic>
                  <pic:nvPicPr>
                    <pic:cNvPr id="0" name="fig_isolated_count_grid_cv_wt25_particle_forward_medianbg_mean.png"/>
                    <pic:cNvPicPr/>
                  </pic:nvPicPr>
                  <pic:blipFill>
                    <a:blip r:embed="rId3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3" name="Picture 33"/>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6.6b - Empirical uncertainty companions for the mean isolated-particle heatmaps under the primary route. These maps separate between-sample spread (std), uncertainty in the mean estimate (SE), normalized variability (CV), and spatial coverage (n contributing sample 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OUT\run_grains_full_wt10_20260304_145519\summary_outputs\combined\fig_isolated_count_grid_se_wt10_particle_forward_medianbg_mean.png</w:t>
      </w:r>
    </w:p>
    <w:p>
      <w:r>
        <w:t>Source: C:\Users\Conor O'Brien\Dropbox\03_AML\00 IN-BOX\AFM Topo Particle processing OUT\run_grains_full_wt10_20260304_145519\summary_outputs\combined\fig_isolated_count_grid_cv_wt10_particle_forward_medianbg_mean.png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OUT\run_grains_full_wt25_20260304_145519\summary_outputs\combined\fig_isolated_count_grid_std_wt25_particle_forward_medianbg_mean.png</w:t>
      </w:r>
    </w:p>
    <w:p>
      <w:r>
        <w:t>Source: C:\Users\Conor O'Brien\Dropbox\03_AML\00 IN-BOX\AFM Topo Particle processing OUT\run_grains_full_wt25_20260304_145519\summary_outputs\combined\fig_isolated_count_grid_se_wt25_particle_forward_medianbg_mean.png</w:t>
      </w:r>
    </w:p>
    <w:p>
      <w:r>
        <w:t>Source: C:\Users\Conor O'Brien\Dropbox\03_AML\00 IN-BOX\AFM Topo Particle processing OUT\run_grains_full_wt25_20260304_145519\summary_outputs\combined\fig_isolated_count_grid_cv_wt25_particle_forward_medianbg_mean.png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3.104</w:t>
            </w:r>
          </w:p>
        </w:tc>
        <w:tc>
          <w:tcPr>
            <w:tcW w:type="dxa" w:w="1728"/>
          </w:tcPr>
          <w:p>
            <w:r>
              <w:t>8.0%</w:t>
            </w:r>
          </w:p>
        </w:tc>
        <w:tc>
          <w:tcPr>
            <w:tcW w:type="dxa" w:w="1728"/>
          </w:tcPr>
          <w:p>
            <w:r>
              <w:t>13</w:t>
            </w:r>
          </w:p>
        </w:tc>
        <w:tc>
          <w:tcPr>
            <w:tcW w:type="dxa" w:w="1728"/>
          </w:tcPr>
          <w:p>
            <w:r>
              <w:t>386</w:t>
            </w:r>
          </w:p>
        </w:tc>
      </w:tr>
      <w:tr>
        <w:tc>
          <w:tcPr>
            <w:tcW w:type="dxa" w:w="1728"/>
          </w:tcPr>
          <w:p>
            <w:r>
              <w:t>25 wt% SiNP</w:t>
            </w:r>
          </w:p>
        </w:tc>
        <w:tc>
          <w:tcPr>
            <w:tcW w:type="dxa" w:w="1728"/>
          </w:tcPr>
          <w:p>
            <w:r>
              <w:t>3.045</w:t>
            </w:r>
          </w:p>
        </w:tc>
        <w:tc>
          <w:tcPr>
            <w:tcW w:type="dxa" w:w="1728"/>
          </w:tcPr>
          <w:p>
            <w:r>
              <w:t>6.4%</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41 scans and from 13 to 48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41</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42</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42</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48</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47</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47</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34" name="Picture 34"/>
            <wp:cNvGraphicFramePr>
              <a:graphicFrameLocks noChangeAspect="1"/>
            </wp:cNvGraphicFramePr>
            <a:graphic>
              <a:graphicData uri="http://schemas.openxmlformats.org/drawingml/2006/picture">
                <pic:pic>
                  <pic:nvPicPr>
                    <pic:cNvPr id="0" name="fig_isolated_count_mean_by_job_10pct.png"/>
                    <pic:cNvPicPr/>
                  </pic:nvPicPr>
                  <pic:blipFill>
                    <a:blip r:embed="rId40"/>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35" name="Picture 35"/>
            <wp:cNvGraphicFramePr>
              <a:graphicFrameLocks noChangeAspect="1"/>
            </wp:cNvGraphicFramePr>
            <a:graphic>
              <a:graphicData uri="http://schemas.openxmlformats.org/drawingml/2006/picture">
                <pic:pic>
                  <pic:nvPicPr>
                    <pic:cNvPr id="0" name="fig_isolated_count_mean_by_job_25pct.png"/>
                    <pic:cNvPicPr/>
                  </pic:nvPicPr>
                  <pic:blipFill>
                    <a:blip r:embed="rId41"/>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36" name="Picture 36"/>
            <wp:cNvGraphicFramePr>
              <a:graphicFrameLocks noChangeAspect="1"/>
            </wp:cNvGraphicFramePr>
            <a:graphic>
              <a:graphicData uri="http://schemas.openxmlformats.org/drawingml/2006/picture">
                <pic:pic>
                  <pic:nvPicPr>
                    <pic:cNvPr id="0" name="risk_aggregate_wt_percent_10_poisson.png"/>
                    <pic:cNvPicPr/>
                  </pic:nvPicPr>
                  <pic:blipFill>
                    <a:blip r:embed="rId42"/>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37" name="Picture 37"/>
            <wp:cNvGraphicFramePr>
              <a:graphicFrameLocks noChangeAspect="1"/>
            </wp:cNvGraphicFramePr>
            <a:graphic>
              <a:graphicData uri="http://schemas.openxmlformats.org/drawingml/2006/picture">
                <pic:pic>
                  <pic:nvPicPr>
                    <pic:cNvPr id="0" name="risk_aggregate_wt_percent_25_poisson.png"/>
                    <pic:cNvPicPr/>
                  </pic:nvPicPr>
                  <pic:blipFill>
                    <a:blip r:embed="rId43"/>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3.104</w:t>
            </w:r>
          </w:p>
        </w:tc>
        <w:tc>
          <w:tcPr>
            <w:tcW w:type="dxa" w:w="2160"/>
          </w:tcPr>
          <w:p>
            <w:r>
              <w:t>386</w:t>
            </w:r>
          </w:p>
        </w:tc>
        <w:tc>
          <w:tcPr>
            <w:tcW w:type="dxa" w:w="2160"/>
          </w:tcPr>
          <w:p>
            <w:r>
              <w:t>0.033</w:t>
            </w:r>
          </w:p>
        </w:tc>
      </w:tr>
      <w:tr>
        <w:tc>
          <w:tcPr>
            <w:tcW w:type="dxa" w:w="2160"/>
          </w:tcPr>
          <w:p>
            <w:r>
              <w:t>25 wt% SiNP</w:t>
            </w:r>
          </w:p>
        </w:tc>
        <w:tc>
          <w:tcPr>
            <w:tcW w:type="dxa" w:w="2160"/>
          </w:tcPr>
          <w:p>
            <w:r>
              <w:t>3.045</w:t>
            </w:r>
          </w:p>
        </w:tc>
        <w:tc>
          <w:tcPr>
            <w:tcW w:type="dxa" w:w="2160"/>
          </w:tcPr>
          <w:p>
            <w:r>
              <w:t>404</w:t>
            </w:r>
          </w:p>
        </w:tc>
        <w:tc>
          <w:tcPr>
            <w:tcW w:type="dxa" w:w="2160"/>
          </w:tcPr>
          <w:p>
            <w:r>
              <w:t>0.032</w:t>
            </w:r>
          </w:p>
        </w:tc>
      </w:tr>
    </w:tbl>
    <w:p>
      <w:r>
        <w:drawing>
          <wp:inline xmlns:a="http://schemas.openxmlformats.org/drawingml/2006/main" xmlns:pic="http://schemas.openxmlformats.org/drawingml/2006/picture">
            <wp:extent cx="6035040" cy="2518973"/>
            <wp:docPr id="38" name="Picture 38"/>
            <wp:cNvGraphicFramePr>
              <a:graphicFrameLocks noChangeAspect="1"/>
            </wp:cNvGraphicFramePr>
            <a:graphic>
              <a:graphicData uri="http://schemas.openxmlformats.org/drawingml/2006/picture">
                <pic:pic>
                  <pic:nvPicPr>
                    <pic:cNvPr id="0" name="chapter6_crossover_by_method.png"/>
                    <pic:cNvPicPr/>
                  </pic:nvPicPr>
                  <pic:blipFill>
                    <a:blip r:embed="rId44"/>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