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21:40</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forward/backward agreement by method, while the absolute-modulus bars show method-level forward and backward modulus summaries with standard-error bars.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heatmap_two_panel__delta_vs_baseline__raw_chauvenet.png"/>
                    <pic:cNvPicPr/>
                  </pic:nvPicPr>
                  <pic:blipFill>
                    <a:blip r:embed="rId14"/>
                    <a:stretch>
                      <a:fillRect/>
                    </a:stretch>
                  </pic:blipFill>
                  <pic:spPr>
                    <a:xfrm>
                      <a:off x="0" y="0"/>
                      <a:ext cx="5029200" cy="2263140"/>
                    </a:xfrm>
                    <a:prstGeom prst="rect"/>
                  </pic:spPr>
                </pic:pic>
              </a:graphicData>
            </a:graphic>
          </wp:inline>
        </w:drawing>
      </w:r>
    </w:p>
    <w:p>
      <w:r>
        <w:t>Figure 6.1b - Forward and backward baseline PEGDA modulus heatmaps plus one representative delta-versus-baseline comparison heatmap. These plots show the spatial baseline field for each scan direction and one example of how a comparison route shifts the baseline modulus pattern.</w:t>
      </w:r>
    </w:p>
    <w:p>
      <w:r>
        <w:t>Source: out\method_compare\compare_20260306_180402\plots\heatmap_two_panel__baseline.png</w:t>
      </w:r>
    </w:p>
    <w:p>
      <w:r>
        <w:t>Source: out\method_compare\compare_20260306_180452\plots\heatmap_two_panel__baseline.png</w:t>
      </w:r>
    </w:p>
    <w:p>
      <w:r>
        <w:t>Source: out\method_compare\compare_20260306_180402\plots\heatmap_two_panel__delta_vs_baseline__raw_chauvenet.png</w:t>
      </w:r>
    </w:p>
    <w:p>
      <w:r>
        <w:drawing>
          <wp:inline xmlns:a="http://schemas.openxmlformats.org/drawingml/2006/main" xmlns:pic="http://schemas.openxmlformats.org/drawingml/2006/picture">
            <wp:extent cx="5394960" cy="3443034"/>
            <wp:docPr id="7" name="Picture 7"/>
            <wp:cNvGraphicFramePr>
              <a:graphicFrameLocks noChangeAspect="1"/>
            </wp:cNvGraphicFramePr>
            <a:graphic>
              <a:graphicData uri="http://schemas.openxmlformats.org/drawingml/2006/picture">
                <pic:pic>
                  <pic:nvPicPr>
                    <pic:cNvPr id="0" name="chapter6_stage1_overview.png"/>
                    <pic:cNvPicPr/>
                  </pic:nvPicPr>
                  <pic:blipFill>
                    <a:blip r:embed="rId15"/>
                    <a:stretch>
                      <a:fillRect/>
                    </a:stretch>
                  </pic:blipFill>
                  <pic:spPr>
                    <a:xfrm>
                      <a:off x="0" y="0"/>
                      <a:ext cx="5394960" cy="3443034"/>
                    </a:xfrm>
                    <a:prstGeom prst="rect"/>
                  </pic:spPr>
                </pic:pic>
              </a:graphicData>
            </a:graphic>
          </wp:inline>
        </w:drawing>
      </w:r>
    </w:p>
    <w:p>
      <w:r>
        <w:t>Figure 6.1c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8" name="Picture 8"/>
            <wp:cNvGraphicFramePr>
              <a:graphicFrameLocks noChangeAspect="1"/>
            </wp:cNvGraphicFramePr>
            <a:graphic>
              <a:graphicData uri="http://schemas.openxmlformats.org/drawingml/2006/picture">
                <pic:pic>
                  <pic:nvPicPr>
                    <pic:cNvPr id="0" name="fig_particle_count_hist.png"/>
                    <pic:cNvPicPr/>
                  </pic:nvPicPr>
                  <pic:blipFill>
                    <a:blip r:embed="rId1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10" name="Picture 10"/>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1" name="Picture 11"/>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9"/>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2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4" name="Picture 14"/>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2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5" name="Picture 15"/>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6" name="Picture 16"/>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7" name="Picture 17"/>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2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8" name="Picture 18"/>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9" name="Picture 19"/>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20" name="Picture 20"/>
            <wp:cNvGraphicFramePr>
              <a:graphicFrameLocks noChangeAspect="1"/>
            </wp:cNvGraphicFramePr>
            <a:graphic>
              <a:graphicData uri="http://schemas.openxmlformats.org/drawingml/2006/picture">
                <pic:pic>
                  <pic:nvPicPr>
                    <pic:cNvPr id="0" name="fig_particle_diameter_hist.png"/>
                    <pic:cNvPicPr/>
                  </pic:nvPicPr>
                  <pic:blipFill>
                    <a:blip r:embed="rId28"/>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1" name="Picture 21"/>
            <wp:cNvGraphicFramePr>
              <a:graphicFrameLocks noChangeAspect="1"/>
            </wp:cNvGraphicFramePr>
            <a:graphic>
              <a:graphicData uri="http://schemas.openxmlformats.org/drawingml/2006/picture">
                <pic:pic>
                  <pic:nvPicPr>
                    <pic:cNvPr id="0" name="fig_particle_diameter_hist.png"/>
                    <pic:cNvPicPr/>
                  </pic:nvPicPr>
                  <pic:blipFill>
                    <a:blip r:embed="rId29"/>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22" name="Picture 22"/>
            <wp:cNvGraphicFramePr>
              <a:graphicFrameLocks noChangeAspect="1"/>
            </wp:cNvGraphicFramePr>
            <a:graphic>
              <a:graphicData uri="http://schemas.openxmlformats.org/drawingml/2006/picture">
                <pic:pic>
                  <pic:nvPicPr>
                    <pic:cNvPr id="0" name="fig_isolated_count_hist.png"/>
                    <pic:cNvPicPr/>
                  </pic:nvPicPr>
                  <pic:blipFill>
                    <a:blip r:embed="rId3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3" name="Picture 23"/>
            <wp:cNvGraphicFramePr>
              <a:graphicFrameLocks noChangeAspect="1"/>
            </wp:cNvGraphicFramePr>
            <a:graphic>
              <a:graphicData uri="http://schemas.openxmlformats.org/drawingml/2006/picture">
                <pic:pic>
                  <pic:nvPicPr>
                    <pic:cNvPr id="0" name="fig_isolated_count_hist.png"/>
                    <pic:cNvPicPr/>
                  </pic:nvPicPr>
                  <pic:blipFill>
                    <a:blip r:embed="rId31"/>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4" name="Picture 24"/>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3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5" name="Picture 25"/>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33"/>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3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8" name="Picture 28"/>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9" name="Picture 2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0" name="Picture 30"/>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1" name="Picture 31"/>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2" name="Picture 32"/>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3" name="Picture 3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7"/>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34" name="Picture 34"/>
            <wp:cNvGraphicFramePr>
              <a:graphicFrameLocks noChangeAspect="1"/>
            </wp:cNvGraphicFramePr>
            <a:graphic>
              <a:graphicData uri="http://schemas.openxmlformats.org/drawingml/2006/picture">
                <pic:pic>
                  <pic:nvPicPr>
                    <pic:cNvPr id="0" name="fig_isolated_count_mean_by_job_10pct.png"/>
                    <pic:cNvPicPr/>
                  </pic:nvPicPr>
                  <pic:blipFill>
                    <a:blip r:embed="rId40"/>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35" name="Picture 35"/>
            <wp:cNvGraphicFramePr>
              <a:graphicFrameLocks noChangeAspect="1"/>
            </wp:cNvGraphicFramePr>
            <a:graphic>
              <a:graphicData uri="http://schemas.openxmlformats.org/drawingml/2006/picture">
                <pic:pic>
                  <pic:nvPicPr>
                    <pic:cNvPr id="0" name="fig_isolated_count_mean_by_job_25pct.png"/>
                    <pic:cNvPicPr/>
                  </pic:nvPicPr>
                  <pic:blipFill>
                    <a:blip r:embed="rId41"/>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t>[MISSING FIGURE] Figure 6.9 - Aggregate Poisson success-probability curves for all methods, separated by 10 wt% and 25 wt% SiNP. Horizontal dashed lines mark the 90%, 95%, and 99% success thresholds; vertical markers show the 95%-requirement scan count for each method.</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6" name="Picture 36"/>
            <wp:cNvGraphicFramePr>
              <a:graphicFrameLocks noChangeAspect="1"/>
            </wp:cNvGraphicFramePr>
            <a:graphic>
              <a:graphicData uri="http://schemas.openxmlformats.org/drawingml/2006/picture">
                <pic:pic>
                  <pic:nvPicPr>
                    <pic:cNvPr id="0" name="chapter6_crossover_by_method.png"/>
                    <pic:cNvPicPr/>
                  </pic:nvPicPr>
                  <pic:blipFill>
                    <a:blip r:embed="rId42"/>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