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21:53</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3" name="Picture 13"/>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1"/>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4" name="Picture 14"/>
            <wp:cNvGraphicFramePr>
              <a:graphicFrameLocks noChangeAspect="1"/>
            </wp:cNvGraphicFramePr>
            <a:graphic>
              <a:graphicData uri="http://schemas.openxmlformats.org/drawingml/2006/picture">
                <pic:pic>
                  <pic:nvPicPr>
                    <pic:cNvPr id="0" name="fig_particle_diameter_hist.png"/>
                    <pic:cNvPicPr/>
                  </pic:nvPicPr>
                  <pic:blipFill>
                    <a:blip r:embed="rId22"/>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5" name="Picture 15"/>
            <wp:cNvGraphicFramePr>
              <a:graphicFrameLocks noChangeAspect="1"/>
            </wp:cNvGraphicFramePr>
            <a:graphic>
              <a:graphicData uri="http://schemas.openxmlformats.org/drawingml/2006/picture">
                <pic:pic>
                  <pic:nvPicPr>
                    <pic:cNvPr id="0" name="fig_particle_diameter_hist.png"/>
                    <pic:cNvPicPr/>
                  </pic:nvPicPr>
                  <pic:blipFill>
                    <a:blip r:embed="rId23"/>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isolated_count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isolated_count_hist.png"/>
                    <pic:cNvPicPr/>
                  </pic:nvPicPr>
                  <pic:blipFill>
                    <a:blip r:embed="rId25"/>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8" name="Picture 18"/>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6"/>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9" name="Picture 19"/>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7"/>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0" name="Picture 20"/>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28"/>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1" name="Picture 21"/>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29"/>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do not replace the particle or isolation results, but they provide an additional segmentation-quality check and a second diameter-based comparison across methods.</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Grain diameter summaries by method for PEGDA, 1 wt% TPO, no coating, separated by 10 wt% and 25 wt% SiNP.</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22" name="Picture 22"/>
            <wp:cNvGraphicFramePr>
              <a:graphicFrameLocks noChangeAspect="1"/>
            </wp:cNvGraphicFramePr>
            <a:graphic>
              <a:graphicData uri="http://schemas.openxmlformats.org/drawingml/2006/picture">
                <pic:pic>
                  <pic:nvPicPr>
                    <pic:cNvPr id="0" name="fig_isolated_count_mean_by_job_10pct.png"/>
                    <pic:cNvPicPr/>
                  </pic:nvPicPr>
                  <pic:blipFill>
                    <a:blip r:embed="rId3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23" name="Picture 23"/>
            <wp:cNvGraphicFramePr>
              <a:graphicFrameLocks noChangeAspect="1"/>
            </wp:cNvGraphicFramePr>
            <a:graphic>
              <a:graphicData uri="http://schemas.openxmlformats.org/drawingml/2006/picture">
                <pic:pic>
                  <pic:nvPicPr>
                    <pic:cNvPr id="0" name="fig_isolated_count_mean_by_job_25pct.png"/>
                    <pic:cNvPicPr/>
                  </pic:nvPicPr>
                  <pic:blipFill>
                    <a:blip r:embed="rId3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4754880" cy="2641600"/>
            <wp:docPr id="24" name="Picture 24"/>
            <wp:cNvGraphicFramePr>
              <a:graphicFrameLocks noChangeAspect="1"/>
            </wp:cNvGraphicFramePr>
            <a:graphic>
              <a:graphicData uri="http://schemas.openxmlformats.org/drawingml/2006/picture">
                <pic:pic>
                  <pic:nvPicPr>
                    <pic:cNvPr id="0" name="risk_aggregate_10____Non-scraped_poisson.png"/>
                    <pic:cNvPicPr/>
                  </pic:nvPicPr>
                  <pic:blipFill>
                    <a:blip r:embed="rId32"/>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5" name="Picture 25"/>
            <wp:cNvGraphicFramePr>
              <a:graphicFrameLocks noChangeAspect="1"/>
            </wp:cNvGraphicFramePr>
            <a:graphic>
              <a:graphicData uri="http://schemas.openxmlformats.org/drawingml/2006/picture">
                <pic:pic>
                  <pic:nvPicPr>
                    <pic:cNvPr id="0" name="risk_aggregate_10____Scraped_poisson.png"/>
                    <pic:cNvPicPr/>
                  </pic:nvPicPr>
                  <pic:blipFill>
                    <a:blip r:embed="rId33"/>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6" name="Picture 26"/>
            <wp:cNvGraphicFramePr>
              <a:graphicFrameLocks noChangeAspect="1"/>
            </wp:cNvGraphicFramePr>
            <a:graphic>
              <a:graphicData uri="http://schemas.openxmlformats.org/drawingml/2006/picture">
                <pic:pic>
                  <pic:nvPicPr>
                    <pic:cNvPr id="0" name="risk_aggregate_25____Non-scraped_poisson.png"/>
                    <pic:cNvPicPr/>
                  </pic:nvPicPr>
                  <pic:blipFill>
                    <a:blip r:embed="rId34"/>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7" name="Picture 27"/>
            <wp:cNvGraphicFramePr>
              <a:graphicFrameLocks noChangeAspect="1"/>
            </wp:cNvGraphicFramePr>
            <a:graphic>
              <a:graphicData uri="http://schemas.openxmlformats.org/drawingml/2006/picture">
                <pic:pic>
                  <pic:nvPicPr>
                    <pic:cNvPr id="0" name="risk_aggregate_25____Scraped_poisson.png"/>
                    <pic:cNvPicPr/>
                  </pic:nvPicPr>
                  <pic:blipFill>
                    <a:blip r:embed="rId35"/>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28" name="Picture 28"/>
            <wp:cNvGraphicFramePr>
              <a:graphicFrameLocks noChangeAspect="1"/>
            </wp:cNvGraphicFramePr>
            <a:graphic>
              <a:graphicData uri="http://schemas.openxmlformats.org/drawingml/2006/picture">
                <pic:pic>
                  <pic:nvPicPr>
                    <pic:cNvPr id="0" name="chapter6_crossover_by_method.png"/>
                    <pic:cNvPicPr/>
                  </pic:nvPicPr>
                  <pic:blipFill>
                    <a:blip r:embed="rId36"/>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29" name="Picture 29"/>
            <wp:cNvGraphicFramePr>
              <a:graphicFrameLocks noChangeAspect="1"/>
            </wp:cNvGraphicFramePr>
            <a:graphic>
              <a:graphicData uri="http://schemas.openxmlformats.org/drawingml/2006/picture">
                <pic:pic>
                  <pic:nvPicPr>
                    <pic:cNvPr id="0" name="stage2_topography_channel.png"/>
                    <pic:cNvPicPr/>
                  </pic:nvPicPr>
                  <pic:blipFill>
                    <a:blip r:embed="rId37"/>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0" name="Picture 30"/>
            <wp:cNvGraphicFramePr>
              <a:graphicFrameLocks noChangeAspect="1"/>
            </wp:cNvGraphicFramePr>
            <a:graphic>
              <a:graphicData uri="http://schemas.openxmlformats.org/drawingml/2006/picture">
                <pic:pic>
                  <pic:nvPicPr>
                    <pic:cNvPr id="0" name="stage2_modulus_channel.png"/>
                    <pic:cNvPicPr/>
                  </pic:nvPicPr>
                  <pic:blipFill>
                    <a:blip r:embed="rId38"/>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1" name="Picture 31"/>
            <wp:cNvGraphicFramePr>
              <a:graphicFrameLocks noChangeAspect="1"/>
            </wp:cNvGraphicFramePr>
            <a:graphic>
              <a:graphicData uri="http://schemas.openxmlformats.org/drawingml/2006/picture">
                <pic:pic>
                  <pic:nvPicPr>
                    <pic:cNvPr id="0" name="stage2_adhesion_channel.png"/>
                    <pic:cNvPicPr/>
                  </pic:nvPicPr>
                  <pic:blipFill>
                    <a:blip r:embed="rId39"/>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2" name="Picture 32"/>
            <wp:cNvGraphicFramePr>
              <a:graphicFrameLocks noChangeAspect="1"/>
            </wp:cNvGraphicFramePr>
            <a:graphic>
              <a:graphicData uri="http://schemas.openxmlformats.org/drawingml/2006/picture">
                <pic:pic>
                  <pic:nvPicPr>
                    <pic:cNvPr id="0" name="stage2_deformation_channel.png"/>
                    <pic:cNvPicPr/>
                  </pic:nvPicPr>
                  <pic:blipFill>
                    <a:blip r:embed="rId40"/>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