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22:28</w:t>
      </w:r>
    </w:p>
    <w:p>
      <w:r>
        <w:t>Scope: measurement feasibility, scan efficiency, and decision thresholds only.</w:t>
      </w:r>
    </w:p>
    <w:p>
      <w:r>
        <w:t>Shared synthesis source: C:\Users\Conor O'Brien\Dropbox\03_AML\00 IN-BOX\AFM Topo Particle processing OUT\topo_report_synthesis.json</w:t>
      </w:r>
    </w:p>
    <w:p>
      <w:pPr>
        <w:pStyle w:val="Heading1"/>
      </w:pPr>
      <w:r>
        <w:t>6.1 Processing Validation - Baseline PEGDA (No SiNP)</w:t>
      </w:r>
    </w:p>
    <w:p>
      <w:r>
        <w:t>Baseline PEGDA validation in this chapter is carried primarily by the modulus method-comparison study. That study was used to evaluate forward/backward agreement, route consistency, and the practical effect of pixel loss before extending the Stage 1 logic to the particle-count workflow.</w:t>
      </w:r>
    </w:p>
    <w:p>
      <w:r>
        <w:t>The modulus baseline artifact is limited in scope: it was performed on one PEGDA sample and one fracture-surface side, so it should be interpreted as method-validation evidence rather than a population-level PEGDA modulus study. Even with that scope limit, the paired forward/backward comparison and the route-consistency summaries provide the direct baseline-validation evidence requested in the thesis outline.</w:t>
      </w:r>
    </w:p>
    <w:p>
      <w:r>
        <w:t>Unit provenance should be stated explicitly for this section. In this workflow, Gwyddion-derived outputs inherit the physical unit attached to the active data field when that unit is actually present in the imported field metadata. A direct one-file verification run on the current PEGDA modulus TIFFs showed that pygwy did not detect an embedded modulus z-unit for that file, so the current modulus source summaries carrying units = kPa should be treated as a workflow-level fallback/default assignment rather than fully verified source metadata truth. That same one-file verification run also produced a negative modulus export, so the absolute modulus value path should be treated as provisional pending targeted re-validation of the TIFF unit/processing chain. By contrast, the Stage 1 particle-count outputs are count-based summaries and therefore do not inherit a physical z-unit, while particle and grain diameter summaries are derived geometric metrics reported in nm.</w:t>
      </w:r>
    </w:p>
    <w:p>
      <w:r>
        <w:rPr>
          <w:b/>
        </w:rPr>
        <w:t>Table 6.1 - Paired forward/backward modulus baseline summary by method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Paired scans</w:t>
            </w:r>
          </w:p>
        </w:tc>
        <w:tc>
          <w:tcPr>
            <w:tcW w:type="dxa" w:w="1234"/>
          </w:tcPr>
          <w:p>
            <w:r>
              <w:t>Median B/F ratio</w:t>
            </w:r>
          </w:p>
        </w:tc>
        <w:tc>
          <w:tcPr>
            <w:tcW w:type="dxa" w:w="1234"/>
          </w:tcPr>
          <w:p>
            <w:r>
              <w:t>Mean B/F ratio</w:t>
            </w:r>
          </w:p>
        </w:tc>
        <w:tc>
          <w:tcPr>
            <w:tcW w:type="dxa" w:w="1234"/>
          </w:tcPr>
          <w:p>
            <w:r>
              <w:t>Median delta avg (GPa-equiv.)</w:t>
            </w:r>
          </w:p>
        </w:tc>
        <w:tc>
          <w:tcPr>
            <w:tcW w:type="dxa" w:w="1234"/>
          </w:tcPr>
          <w:p>
            <w:r>
              <w:t>Mean delta avg (GPa-equiv.)</w:t>
            </w:r>
          </w:p>
        </w:tc>
        <w:tc>
          <w:tcPr>
            <w:tcW w:type="dxa" w:w="1234"/>
          </w:tcPr>
          <w:p>
            <w:r>
              <w:t>Mean delta n_valid</w:t>
            </w:r>
          </w:p>
        </w:tc>
      </w:tr>
      <w:tr>
        <w:tc>
          <w:tcPr>
            <w:tcW w:type="dxa" w:w="1234"/>
          </w:tcPr>
          <w:p>
            <w:r>
              <w:t>Baseline Gwyddion stats</w:t>
            </w:r>
          </w:p>
        </w:tc>
        <w:tc>
          <w:tcPr>
            <w:tcW w:type="dxa" w:w="1234"/>
          </w:tcPr>
          <w:p>
            <w:r>
              <w:t>99</w:t>
            </w:r>
          </w:p>
        </w:tc>
        <w:tc>
          <w:tcPr>
            <w:tcW w:type="dxa" w:w="1234"/>
          </w:tcPr>
          <w:p>
            <w:r>
              <w:t>1.000</w:t>
            </w:r>
          </w:p>
        </w:tc>
        <w:tc>
          <w:tcPr>
            <w:tcW w:type="dxa" w:w="1234"/>
          </w:tcPr>
          <w:p>
            <w:r>
              <w:t>2.181</w:t>
            </w:r>
          </w:p>
        </w:tc>
        <w:tc>
          <w:tcPr>
            <w:tcW w:type="dxa" w:w="1234"/>
          </w:tcPr>
          <w:p>
            <w:r>
              <w:t>-0.005</w:t>
            </w:r>
          </w:p>
        </w:tc>
        <w:tc>
          <w:tcPr>
            <w:tcW w:type="dxa" w:w="1234"/>
          </w:tcPr>
          <w:p>
            <w:r>
              <w:t>-800.432</w:t>
            </w:r>
          </w:p>
        </w:tc>
        <w:tc>
          <w:tcPr>
            <w:tcW w:type="dxa" w:w="1234"/>
          </w:tcPr>
          <w:p>
            <w:r>
              <w:t>-4318.7</w:t>
            </w:r>
          </w:p>
        </w:tc>
      </w:tr>
      <w:tr>
        <w:tc>
          <w:tcPr>
            <w:tcW w:type="dxa" w:w="1234"/>
          </w:tcPr>
          <w:p>
            <w:r>
              <w:t>Gwyddion preprocess + Python stats</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min/max filter</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Chauvenet</w:t>
            </w:r>
          </w:p>
        </w:tc>
        <w:tc>
          <w:tcPr>
            <w:tcW w:type="dxa" w:w="1234"/>
          </w:tcPr>
          <w:p>
            <w:r>
              <w:t>91</w:t>
            </w:r>
          </w:p>
        </w:tc>
        <w:tc>
          <w:tcPr>
            <w:tcW w:type="dxa" w:w="1234"/>
          </w:tcPr>
          <w:p>
            <w:r>
              <w:t>1.000</w:t>
            </w:r>
          </w:p>
        </w:tc>
        <w:tc>
          <w:tcPr>
            <w:tcW w:type="dxa" w:w="1234"/>
          </w:tcPr>
          <w:p>
            <w:r>
              <w:t>1.419</w:t>
            </w:r>
          </w:p>
        </w:tc>
        <w:tc>
          <w:tcPr>
            <w:tcW w:type="dxa" w:w="1234"/>
          </w:tcPr>
          <w:p>
            <w:r>
              <w:t>-0.006</w:t>
            </w:r>
          </w:p>
        </w:tc>
        <w:tc>
          <w:tcPr>
            <w:tcW w:type="dxa" w:w="1234"/>
          </w:tcPr>
          <w:p>
            <w:r>
              <w:t>-4.069</w:t>
            </w:r>
          </w:p>
        </w:tc>
        <w:tc>
          <w:tcPr>
            <w:tcW w:type="dxa" w:w="1234"/>
          </w:tcPr>
          <w:p>
            <w:r>
              <w:t>-8176.5</w:t>
            </w:r>
          </w:p>
        </w:tc>
      </w:tr>
      <w:tr>
        <w:tc>
          <w:tcPr>
            <w:tcW w:type="dxa" w:w="1234"/>
          </w:tcPr>
          <w:p>
            <w:r>
              <w:t>Raw export + 3-sigma</w:t>
            </w:r>
          </w:p>
        </w:tc>
        <w:tc>
          <w:tcPr>
            <w:tcW w:type="dxa" w:w="1234"/>
          </w:tcPr>
          <w:p>
            <w:r>
              <w:t>88</w:t>
            </w:r>
          </w:p>
        </w:tc>
        <w:tc>
          <w:tcPr>
            <w:tcW w:type="dxa" w:w="1234"/>
          </w:tcPr>
          <w:p>
            <w:r>
              <w:t>1.001</w:t>
            </w:r>
          </w:p>
        </w:tc>
        <w:tc>
          <w:tcPr>
            <w:tcW w:type="dxa" w:w="1234"/>
          </w:tcPr>
          <w:p>
            <w:r>
              <w:t>1.424</w:t>
            </w:r>
          </w:p>
        </w:tc>
        <w:tc>
          <w:tcPr>
            <w:tcW w:type="dxa" w:w="1234"/>
          </w:tcPr>
          <w:p>
            <w:r>
              <w:t>0.018</w:t>
            </w:r>
          </w:p>
        </w:tc>
        <w:tc>
          <w:tcPr>
            <w:tcW w:type="dxa" w:w="1234"/>
          </w:tcPr>
          <w:p>
            <w:r>
              <w:t>2.604</w:t>
            </w:r>
          </w:p>
        </w:tc>
        <w:tc>
          <w:tcPr>
            <w:tcW w:type="dxa" w:w="1234"/>
          </w:tcPr>
          <w:p>
            <w:r>
              <w:t>-11256.0</w:t>
            </w:r>
          </w:p>
        </w:tc>
      </w:tr>
    </w:tbl>
    <w:p>
      <w:r>
        <w:drawing>
          <wp:inline xmlns:a="http://schemas.openxmlformats.org/drawingml/2006/main" xmlns:pic="http://schemas.openxmlformats.org/drawingml/2006/picture">
            <wp:extent cx="5029200" cy="2634343"/>
            <wp:docPr id="1" name="Picture 1"/>
            <wp:cNvGraphicFramePr>
              <a:graphicFrameLocks noChangeAspect="1"/>
            </wp:cNvGraphicFramePr>
            <a:graphic>
              <a:graphicData uri="http://schemas.openxmlformats.org/drawingml/2006/picture">
                <pic:pic>
                  <pic:nvPicPr>
                    <pic:cNvPr id="0" name="paired_ratio_boxplot.png"/>
                    <pic:cNvPicPr/>
                  </pic:nvPicPr>
                  <pic:blipFill>
                    <a:blip r:embed="rId9"/>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2" name="Picture 2"/>
            <wp:cNvGraphicFramePr>
              <a:graphicFrameLocks noChangeAspect="1"/>
            </wp:cNvGraphicFramePr>
            <a:graphic>
              <a:graphicData uri="http://schemas.openxmlformats.org/drawingml/2006/picture">
                <pic:pic>
                  <pic:nvPicPr>
                    <pic:cNvPr id="0" name="forward_absolute_modulus_bar.png"/>
                    <pic:cNvPicPr/>
                  </pic:nvPicPr>
                  <pic:blipFill>
                    <a:blip r:embed="rId10"/>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3" name="Picture 3"/>
            <wp:cNvGraphicFramePr>
              <a:graphicFrameLocks noChangeAspect="1"/>
            </wp:cNvGraphicFramePr>
            <a:graphic>
              <a:graphicData uri="http://schemas.openxmlformats.org/drawingml/2006/picture">
                <pic:pic>
                  <pic:nvPicPr>
                    <pic:cNvPr id="0" name="backward_absolute_modulus_bar.png"/>
                    <pic:cNvPicPr/>
                  </pic:nvPicPr>
                  <pic:blipFill>
                    <a:blip r:embed="rId11"/>
                    <a:stretch>
                      <a:fillRect/>
                    </a:stretch>
                  </pic:blipFill>
                  <pic:spPr>
                    <a:xfrm>
                      <a:off x="0" y="0"/>
                      <a:ext cx="5029200" cy="2634343"/>
                    </a:xfrm>
                    <a:prstGeom prst="rect"/>
                  </pic:spPr>
                </pic:pic>
              </a:graphicData>
            </a:graphic>
          </wp:inline>
        </w:drawing>
      </w:r>
    </w:p>
    <w:p>
      <w:r>
        <w:t>Figure 6.1 - Baseline PEGDA modulus validation figures. The paired-ratio box plot summarizes the combined forward/backward comparison by method, while the absolute-modulus bars show the forward-only and backward-only method summaries with standard-error bars. Together these figures support route consistency and the forward-only selection used later in the Stage 1 topography workflow.</w:t>
      </w:r>
    </w:p>
    <w:p>
      <w:r>
        <w:t>Source: C:\Users\Conor O'Brien\Dropbox\03_AML\00 IN-BOX\AFM Topo Particle processing OUT\modulus_baseline_assets\paired_ratio_boxplot.png</w:t>
      </w:r>
    </w:p>
    <w:p>
      <w:r>
        <w:t>Source: C:\Users\Conor O'Brien\Dropbox\03_AML\00 IN-BOX\AFM Topo Particle processing OUT\modulus_baseline_assets\forward_absolute_modulus_bar.png</w:t>
      </w:r>
    </w:p>
    <w:p>
      <w:r>
        <w:t>Source: C:\Users\Conor O'Brien\Dropbox\03_AML\00 IN-BOX\AFM Topo Particle processing OUT\modulus_baseline_assets\backward_absolute_modulus_bar.png</w:t>
      </w:r>
    </w:p>
    <w:p>
      <w:r>
        <w:drawing>
          <wp:inline xmlns:a="http://schemas.openxmlformats.org/drawingml/2006/main" xmlns:pic="http://schemas.openxmlformats.org/drawingml/2006/picture">
            <wp:extent cx="5029200" cy="2263140"/>
            <wp:docPr id="4" name="Picture 4"/>
            <wp:cNvGraphicFramePr>
              <a:graphicFrameLocks noChangeAspect="1"/>
            </wp:cNvGraphicFramePr>
            <a:graphic>
              <a:graphicData uri="http://schemas.openxmlformats.org/drawingml/2006/picture">
                <pic:pic>
                  <pic:nvPicPr>
                    <pic:cNvPr id="0" name="heatmap_two_panel__baseline.png"/>
                    <pic:cNvPicPr/>
                  </pic:nvPicPr>
                  <pic:blipFill>
                    <a:blip r:embed="rId12"/>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5" name="Picture 5"/>
            <wp:cNvGraphicFramePr>
              <a:graphicFrameLocks noChangeAspect="1"/>
            </wp:cNvGraphicFramePr>
            <a:graphic>
              <a:graphicData uri="http://schemas.openxmlformats.org/drawingml/2006/picture">
                <pic:pic>
                  <pic:nvPicPr>
                    <pic:cNvPr id="0" name="heatmap_two_panel__baseline.png"/>
                    <pic:cNvPicPr/>
                  </pic:nvPicPr>
                  <pic:blipFill>
                    <a:blip r:embed="rId13"/>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4218039"/>
            <wp:docPr id="6" name="Picture 6"/>
            <wp:cNvGraphicFramePr>
              <a:graphicFrameLocks noChangeAspect="1"/>
            </wp:cNvGraphicFramePr>
            <a:graphic>
              <a:graphicData uri="http://schemas.openxmlformats.org/drawingml/2006/picture">
                <pic:pic>
                  <pic:nvPicPr>
                    <pic:cNvPr id="0" name="combined_forward_backward_baseline_heatmap.png"/>
                    <pic:cNvPicPr/>
                  </pic:nvPicPr>
                  <pic:blipFill>
                    <a:blip r:embed="rId14"/>
                    <a:stretch>
                      <a:fillRect/>
                    </a:stretch>
                  </pic:blipFill>
                  <pic:spPr>
                    <a:xfrm>
                      <a:off x="0" y="0"/>
                      <a:ext cx="5029200" cy="4218039"/>
                    </a:xfrm>
                    <a:prstGeom prst="rect"/>
                  </pic:spPr>
                </pic:pic>
              </a:graphicData>
            </a:graphic>
          </wp:inline>
        </w:drawing>
      </w:r>
    </w:p>
    <w:p>
      <w:r>
        <w:drawing>
          <wp:inline xmlns:a="http://schemas.openxmlformats.org/drawingml/2006/main" xmlns:pic="http://schemas.openxmlformats.org/drawingml/2006/picture">
            <wp:extent cx="5029200" cy="2263140"/>
            <wp:docPr id="7" name="Picture 7"/>
            <wp:cNvGraphicFramePr>
              <a:graphicFrameLocks noChangeAspect="1"/>
            </wp:cNvGraphicFramePr>
            <a:graphic>
              <a:graphicData uri="http://schemas.openxmlformats.org/drawingml/2006/picture">
                <pic:pic>
                  <pic:nvPicPr>
                    <pic:cNvPr id="0" name="heatmap_two_panel__delta_vs_baseline__raw_minmax.png"/>
                    <pic:cNvPicPr/>
                  </pic:nvPicPr>
                  <pic:blipFill>
                    <a:blip r:embed="rId15"/>
                    <a:stretch>
                      <a:fillRect/>
                    </a:stretch>
                  </pic:blipFill>
                  <pic:spPr>
                    <a:xfrm>
                      <a:off x="0" y="0"/>
                      <a:ext cx="5029200" cy="2263140"/>
                    </a:xfrm>
                    <a:prstGeom prst="rect"/>
                  </pic:spPr>
                </pic:pic>
              </a:graphicData>
            </a:graphic>
          </wp:inline>
        </w:drawing>
      </w:r>
    </w:p>
    <w:p>
      <w:r>
        <w:t>Figure 6.1b - Forward baseline, backward baseline, and combined forward/backward PEGDA modulus heatmaps plus one representative forward delta-versus-baseline comparison heatmap. These plots show the spatial baseline field for each scan direction, the paired mean baseline field, and one example of how a comparison route shifts the forward baseline modulus pattern.</w:t>
      </w:r>
    </w:p>
    <w:p>
      <w:r>
        <w:t>Source: out\method_compare\compare_20260306_180402\plots\heatmap_two_panel__baseline.png</w:t>
      </w:r>
    </w:p>
    <w:p>
      <w:r>
        <w:t>Source: out\method_compare\compare_20260306_180452\plots\heatmap_two_panel__baseline.png</w:t>
      </w:r>
    </w:p>
    <w:p>
      <w:r>
        <w:t>Source: C:\Users\Conor O'Brien\Dropbox\03_AML\00 IN-BOX\AFM Topo Particle processing OUT\modulus_baseline_assets\combined_forward_backward_baseline_heatmap.png</w:t>
      </w:r>
    </w:p>
    <w:p>
      <w:r>
        <w:t>Source: out\method_compare\compare_20260306_180402\plots\heatmap_two_panel__delta_vs_baseline__raw_minmax.png</w:t>
      </w:r>
    </w:p>
    <w:p>
      <w:pPr>
        <w:pStyle w:val="Heading1"/>
      </w:pPr>
      <w:r>
        <w:t>6.2 Stage 1 - Particle Presence in PEGDA-SiNP</w:t>
      </w:r>
    </w:p>
    <w:p>
      <w:pPr>
        <w:pStyle w:val="Heading2"/>
      </w:pPr>
      <w:r>
        <w:t>6.2.1 Scan Inventory</w:t>
      </w:r>
    </w:p>
    <w:p>
      <w:r>
        <w:rPr>
          <w:b/>
        </w:rPr>
        <w:t>Table 6.2 -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9.83 +/- 5.12 particles per scan for 10 wt% SiNP and 9.22 +/- 5.31 particles per scan for 25 wt% SiNP. Zero-count scans were uncommon in both grouped datasets (3.1% and 2.0%).</w:t>
      </w:r>
    </w:p>
    <w:p>
      <w:r>
        <w:t>The 25 wt% SiNP dataset showed a modest increase in candidate-particle density relative to 10 wt% SiNP (0.94x), but this stage still represents Stage 1 candidate features rather than confirmed particles.</w:t>
      </w:r>
    </w:p>
    <w:p>
      <w:r>
        <w:t>The count histograms show that low candidate counts remain the most common outcome for both loadings, indicating that the retained population is typically distributed as small numbers of particle candidates per scan rather than as large multi-particle fields.</w:t>
      </w:r>
    </w:p>
    <w:p>
      <w:r>
        <w:rPr>
          <w:b/>
        </w:rPr>
        <w:t>Table 6.3 -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9.83</w:t>
            </w:r>
          </w:p>
        </w:tc>
        <w:tc>
          <w:tcPr>
            <w:tcW w:type="dxa" w:w="1440"/>
          </w:tcPr>
          <w:p>
            <w:r>
              <w:t>5.12</w:t>
            </w:r>
          </w:p>
        </w:tc>
        <w:tc>
          <w:tcPr>
            <w:tcW w:type="dxa" w:w="1440"/>
          </w:tcPr>
          <w:p>
            <w:r>
              <w:t>0</w:t>
            </w:r>
          </w:p>
        </w:tc>
        <w:tc>
          <w:tcPr>
            <w:tcW w:type="dxa" w:w="1440"/>
          </w:tcPr>
          <w:p>
            <w:r>
              <w:t>28</w:t>
            </w:r>
          </w:p>
        </w:tc>
        <w:tc>
          <w:tcPr>
            <w:tcW w:type="dxa" w:w="1440"/>
          </w:tcPr>
          <w:p>
            <w:r>
              <w:t>3.1%</w:t>
            </w:r>
          </w:p>
        </w:tc>
      </w:tr>
      <w:tr>
        <w:tc>
          <w:tcPr>
            <w:tcW w:type="dxa" w:w="1440"/>
          </w:tcPr>
          <w:p>
            <w:r>
              <w:t>25 wt% SiNP</w:t>
            </w:r>
          </w:p>
        </w:tc>
        <w:tc>
          <w:tcPr>
            <w:tcW w:type="dxa" w:w="1440"/>
          </w:tcPr>
          <w:p>
            <w:r>
              <w:t>9.22</w:t>
            </w:r>
          </w:p>
        </w:tc>
        <w:tc>
          <w:tcPr>
            <w:tcW w:type="dxa" w:w="1440"/>
          </w:tcPr>
          <w:p>
            <w:r>
              <w:t>5.31</w:t>
            </w:r>
          </w:p>
        </w:tc>
        <w:tc>
          <w:tcPr>
            <w:tcW w:type="dxa" w:w="1440"/>
          </w:tcPr>
          <w:p>
            <w:r>
              <w:t>0</w:t>
            </w:r>
          </w:p>
        </w:tc>
        <w:tc>
          <w:tcPr>
            <w:tcW w:type="dxa" w:w="1440"/>
          </w:tcPr>
          <w:p>
            <w:r>
              <w:t>25</w:t>
            </w:r>
          </w:p>
        </w:tc>
        <w:tc>
          <w:tcPr>
            <w:tcW w:type="dxa" w:w="1440"/>
          </w:tcPr>
          <w:p>
            <w:r>
              <w:t>2.0%</w:t>
            </w:r>
          </w:p>
        </w:tc>
      </w:tr>
    </w:tbl>
    <w:p>
      <w:r>
        <w:drawing>
          <wp:inline xmlns:a="http://schemas.openxmlformats.org/drawingml/2006/main" xmlns:pic="http://schemas.openxmlformats.org/drawingml/2006/picture">
            <wp:extent cx="5394960" cy="3443034"/>
            <wp:docPr id="8" name="Picture 8"/>
            <wp:cNvGraphicFramePr>
              <a:graphicFrameLocks noChangeAspect="1"/>
            </wp:cNvGraphicFramePr>
            <a:graphic>
              <a:graphicData uri="http://schemas.openxmlformats.org/drawingml/2006/picture">
                <pic:pic>
                  <pic:nvPicPr>
                    <pic:cNvPr id="0" name="chapter6_stage1_overview.png"/>
                    <pic:cNvPicPr/>
                  </pic:nvPicPr>
                  <pic:blipFill>
                    <a:blip r:embed="rId16"/>
                    <a:stretch>
                      <a:fillRect/>
                    </a:stretch>
                  </pic:blipFill>
                  <pic:spPr>
                    <a:xfrm>
                      <a:off x="0" y="0"/>
                      <a:ext cx="5394960" cy="3443034"/>
                    </a:xfrm>
                    <a:prstGeom prst="rect"/>
                  </pic:spPr>
                </pic:pic>
              </a:graphicData>
            </a:graphic>
          </wp:inline>
        </w:drawing>
      </w:r>
    </w:p>
    <w:p>
      <w:r>
        <w:t>Figure 6.2a - Stage 1 overview for PEGDA, 1 wt% TPO, no coating, comparing 10 wt% and 25 wt% SiNP. Bars show mean candidate and isolated counts per scan with standard deviations.</w:t>
      </w:r>
    </w:p>
    <w:p>
      <w:r>
        <w:t>Source: docs\Thesis\generated_assets\chapter6_stage1_overview.png</w:t>
      </w:r>
    </w:p>
    <w:p>
      <w:r>
        <w:drawing>
          <wp:inline xmlns:a="http://schemas.openxmlformats.org/drawingml/2006/main" xmlns:pic="http://schemas.openxmlformats.org/drawingml/2006/picture">
            <wp:extent cx="5394960" cy="3596640"/>
            <wp:docPr id="9" name="Picture 9"/>
            <wp:cNvGraphicFramePr>
              <a:graphicFrameLocks noChangeAspect="1"/>
            </wp:cNvGraphicFramePr>
            <a:graphic>
              <a:graphicData uri="http://schemas.openxmlformats.org/drawingml/2006/picture">
                <pic:pic>
                  <pic:nvPicPr>
                    <pic:cNvPr id="0" name="fig_particle_count_hist.png"/>
                    <pic:cNvPicPr/>
                  </pic:nvPicPr>
                  <pic:blipFill>
                    <a:blip r:embed="rId17"/>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0" name="Picture 10"/>
            <wp:cNvGraphicFramePr>
              <a:graphicFrameLocks noChangeAspect="1"/>
            </wp:cNvGraphicFramePr>
            <a:graphic>
              <a:graphicData uri="http://schemas.openxmlformats.org/drawingml/2006/picture">
                <pic:pic>
                  <pic:nvPicPr>
                    <pic:cNvPr id="0" name="fig_particle_count_hist.png"/>
                    <pic:cNvPicPr/>
                  </pic:nvPicPr>
                  <pic:blipFill>
                    <a:blip r:embed="rId18"/>
                    <a:stretch>
                      <a:fillRect/>
                    </a:stretch>
                  </pic:blipFill>
                  <pic:spPr>
                    <a:xfrm>
                      <a:off x="0" y="0"/>
                      <a:ext cx="5394960" cy="3596640"/>
                    </a:xfrm>
                    <a:prstGeom prst="rect"/>
                  </pic:spPr>
                </pic:pic>
              </a:graphicData>
            </a:graphic>
          </wp:inline>
        </w:drawing>
      </w:r>
    </w:p>
    <w:p>
      <w:r>
        <w:t>Figure 6.2b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4754880" cy="4754880"/>
            <wp:docPr id="11" name="Picture 11"/>
            <wp:cNvGraphicFramePr>
              <a:graphicFrameLocks noChangeAspect="1"/>
            </wp:cNvGraphicFramePr>
            <a:graphic>
              <a:graphicData uri="http://schemas.openxmlformats.org/drawingml/2006/picture">
                <pic:pic>
                  <pic:nvPicPr>
                    <pic:cNvPr id="0" name="pegda10_all_three_types.png"/>
                    <pic:cNvPicPr/>
                  </pic:nvPicPr>
                  <pic:blipFill>
                    <a:blip r:embed="rId19"/>
                    <a:stretch>
                      <a:fillRect/>
                    </a:stretch>
                  </pic:blipFill>
                  <pic:spPr>
                    <a:xfrm>
                      <a:off x="0" y="0"/>
                      <a:ext cx="4754880" cy="4754880"/>
                    </a:xfrm>
                    <a:prstGeom prst="rect"/>
                  </pic:spPr>
                </pic:pic>
              </a:graphicData>
            </a:graphic>
          </wp:inline>
        </w:drawing>
      </w:r>
    </w:p>
    <w:p>
      <w:r>
        <w:t>Figure 6.2c - Representative raw topography image showing a mixed particle field before the mean kept-particle density maps are introduced. This figure provides visual context for the kinds of particle arrangements counted during Stage 1.</w:t>
      </w:r>
    </w:p>
    <w:p>
      <w:r>
        <w:t>Source: C:\Users\Conor O'Brien\Dropbox\03_AML\00 IN-BOX\AFM Topo Particle processing OUT\Particle Images for Thesis Figures\processed\pegda10_all_three_types.png</w:t>
      </w:r>
    </w:p>
    <w:p>
      <w:r>
        <w:drawing>
          <wp:inline xmlns:a="http://schemas.openxmlformats.org/drawingml/2006/main" xmlns:pic="http://schemas.openxmlformats.org/drawingml/2006/picture">
            <wp:extent cx="5394960" cy="4495800"/>
            <wp:docPr id="12" name="Picture 12"/>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20"/>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3" name="Picture 13"/>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21"/>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r>
        <w:drawing>
          <wp:inline xmlns:a="http://schemas.openxmlformats.org/drawingml/2006/main" xmlns:pic="http://schemas.openxmlformats.org/drawingml/2006/picture">
            <wp:extent cx="5029200" cy="4191000"/>
            <wp:docPr id="14" name="Picture 14"/>
            <wp:cNvGraphicFramePr>
              <a:graphicFrameLocks noChangeAspect="1"/>
            </wp:cNvGraphicFramePr>
            <a:graphic>
              <a:graphicData uri="http://schemas.openxmlformats.org/drawingml/2006/picture">
                <pic:pic>
                  <pic:nvPicPr>
                    <pic:cNvPr id="0" name="fig_particle_count_grid_std_wt10_particle_forward_medianbg_mean.png"/>
                    <pic:cNvPicPr/>
                  </pic:nvPicPr>
                  <pic:blipFill>
                    <a:blip r:embed="rId22"/>
                    <a:stretch>
                      <a:fillRect/>
                    </a:stretch>
                  </pic:blipFill>
                  <pic:spPr>
                    <a:xfrm>
                      <a:off x="0" y="0"/>
                      <a:ext cx="5029200" cy="4191000"/>
                    </a:xfrm>
                    <a:prstGeom prst="rect"/>
                  </pic:spPr>
                </pic:pic>
              </a:graphicData>
            </a:graphic>
          </wp:inline>
        </w:drawing>
      </w:r>
    </w:p>
    <w:p>
      <w:r>
        <w:drawing>
          <wp:inline xmlns:a="http://schemas.openxmlformats.org/drawingml/2006/main" xmlns:pic="http://schemas.openxmlformats.org/drawingml/2006/picture">
            <wp:extent cx="5029200" cy="4191000"/>
            <wp:docPr id="15" name="Picture 15"/>
            <wp:cNvGraphicFramePr>
              <a:graphicFrameLocks noChangeAspect="1"/>
            </wp:cNvGraphicFramePr>
            <a:graphic>
              <a:graphicData uri="http://schemas.openxmlformats.org/drawingml/2006/picture">
                <pic:pic>
                  <pic:nvPicPr>
                    <pic:cNvPr id="0" name="fig_particle_count_grid_std_wt25_particle_forward_medianbg_mean.png"/>
                    <pic:cNvPicPr/>
                  </pic:nvPicPr>
                  <pic:blipFill>
                    <a:blip r:embed="rId23"/>
                    <a:stretch>
                      <a:fillRect/>
                    </a:stretch>
                  </pic:blipFill>
                  <pic:spPr>
                    <a:xfrm>
                      <a:off x="0" y="0"/>
                      <a:ext cx="5029200" cy="4191000"/>
                    </a:xfrm>
                    <a:prstGeom prst="rect"/>
                  </pic:spPr>
                </pic:pic>
              </a:graphicData>
            </a:graphic>
          </wp:inline>
        </w:drawing>
      </w:r>
    </w:p>
    <w:p>
      <w:r>
        <w:t>Figure 6.3b - Standard-deviation companions for the mean kept-particle heatmaps under the primary route. These maps show the between-sample spread at each scan position for the 10 wt% and 25 wt% grouped datasets.</w:t>
      </w:r>
    </w:p>
    <w:p>
      <w:r>
        <w:t>Source: C:\Users\Conor O'Brien\Dropbox\03_AML\00 IN-BOX\AFM Topo Particle processing OUT\run_grains_full_wt10_20260304_145519\summary_outputs\combined\fig_particle_count_grid_std_wt10_particle_forward_medianbg_mean.png</w:t>
      </w:r>
    </w:p>
    <w:p>
      <w:r>
        <w:t>Source: C:\Users\Conor O'Brien\Dropbox\03_AML\00 IN-BOX\AFM Topo Particle processing OUT\run_grains_full_wt25_20260304_145519\summary_outputs\combined\fig_particle_count_grid_std_wt25_particle_forward_medianbg_mean.png</w:t>
      </w:r>
    </w:p>
    <w:p>
      <w:pPr>
        <w:pStyle w:val="Heading2"/>
      </w:pPr>
      <w:r>
        <w:t>6.2.3 Particle Diameter Distribution</w:t>
      </w:r>
    </w:p>
    <w:p>
      <w:r>
        <w:t>After applying the configured 350-550 nm filter, retained particle diameter averaged 432.37 +/- 56.57 nm for 10 wt% SiNP and 441.50 +/- 57.70 nm for 25 wt% SiNP. The retained means remain centered on the expected SiNP size band.</w:t>
      </w:r>
    </w:p>
    <w:p>
      <w:r>
        <w:rPr>
          <w:b/>
        </w:rPr>
        <w:t>Table 6.4 -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432.37</w:t>
            </w:r>
          </w:p>
        </w:tc>
        <w:tc>
          <w:tcPr>
            <w:tcW w:type="dxa" w:w="2160"/>
          </w:tcPr>
          <w:p>
            <w:r>
              <w:t>56.57</w:t>
            </w:r>
          </w:p>
        </w:tc>
      </w:tr>
      <w:tr>
        <w:tc>
          <w:tcPr>
            <w:tcW w:type="dxa" w:w="2160"/>
          </w:tcPr>
          <w:p>
            <w:r>
              <w:t>25 wt% SiNP</w:t>
            </w:r>
          </w:p>
        </w:tc>
        <w:tc>
          <w:tcPr>
            <w:tcW w:type="dxa" w:w="2160"/>
          </w:tcPr>
          <w:p>
            <w:r>
              <w:t>350-550</w:t>
            </w:r>
          </w:p>
        </w:tc>
        <w:tc>
          <w:tcPr>
            <w:tcW w:type="dxa" w:w="2160"/>
          </w:tcPr>
          <w:p>
            <w:r>
              <w:t>441.50</w:t>
            </w:r>
          </w:p>
        </w:tc>
        <w:tc>
          <w:tcPr>
            <w:tcW w:type="dxa" w:w="2160"/>
          </w:tcPr>
          <w:p>
            <w:r>
              <w:t>57.70</w:t>
            </w:r>
          </w:p>
        </w:tc>
      </w:tr>
    </w:tbl>
    <w:p>
      <w:r>
        <w:drawing>
          <wp:inline xmlns:a="http://schemas.openxmlformats.org/drawingml/2006/main" xmlns:pic="http://schemas.openxmlformats.org/drawingml/2006/picture">
            <wp:extent cx="5394960" cy="3596640"/>
            <wp:docPr id="16" name="Picture 16"/>
            <wp:cNvGraphicFramePr>
              <a:graphicFrameLocks noChangeAspect="1"/>
            </wp:cNvGraphicFramePr>
            <a:graphic>
              <a:graphicData uri="http://schemas.openxmlformats.org/drawingml/2006/picture">
                <pic:pic>
                  <pic:nvPicPr>
                    <pic:cNvPr id="0" name="fig_particle_diameter_hist.png"/>
                    <pic:cNvPicPr/>
                  </pic:nvPicPr>
                  <pic:blipFill>
                    <a:blip r:embed="rId24"/>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7" name="Picture 17"/>
            <wp:cNvGraphicFramePr>
              <a:graphicFrameLocks noChangeAspect="1"/>
            </wp:cNvGraphicFramePr>
            <a:graphic>
              <a:graphicData uri="http://schemas.openxmlformats.org/drawingml/2006/picture">
                <pic:pic>
                  <pic:nvPicPr>
                    <pic:cNvPr id="0" name="fig_particle_diameter_hist.png"/>
                    <pic:cNvPicPr/>
                  </pic:nvPicPr>
                  <pic:blipFill>
                    <a:blip r:embed="rId25"/>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3.10 +/- 1.82 per scan for 10 wt% SiNP and 3.04 +/- 1.70 per scan for 25 wt% SiNP. Scans with at least one isolated particle accounted for 92.0% and 93.6% of the two datasets, respectively.</w:t>
      </w:r>
    </w:p>
    <w:p>
      <w:r>
        <w:t>The higher-loading dataset did not produce a proportionally larger isolated-particle yield. Mean isolated counts remained close (3.10 versus 3.04 isolated candidates per scan) even though candidate density increased.</w:t>
      </w:r>
    </w:p>
    <w:p>
      <w:r>
        <w:t>The isolated-count maps summarize mean isolated-candidate count at each scan position across the grouped sample sets. They are therefore useful for showing spatial pattern, while the paired standard-deviation maps show how much that isolated-candidate density varies between grouped samples at the same position.</w:t>
      </w:r>
    </w:p>
    <w:p>
      <w:r>
        <w:rPr>
          <w:b/>
        </w:rPr>
        <w:t>Table 6.5 -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3.41</w:t>
            </w:r>
          </w:p>
        </w:tc>
        <w:tc>
          <w:tcPr>
            <w:tcW w:type="dxa" w:w="1440"/>
          </w:tcPr>
          <w:p>
            <w:r>
              <w:t>1.69</w:t>
            </w:r>
          </w:p>
        </w:tc>
        <w:tc>
          <w:tcPr>
            <w:tcW w:type="dxa" w:w="1440"/>
          </w:tcPr>
          <w:p>
            <w:r>
              <w:t>93.2%</w:t>
            </w:r>
          </w:p>
        </w:tc>
      </w:tr>
      <w:tr>
        <w:tc>
          <w:tcPr>
            <w:tcW w:type="dxa" w:w="1440"/>
          </w:tcPr>
          <w:p>
            <w:r>
              <w:t>10 wt% SiNP</w:t>
            </w:r>
          </w:p>
        </w:tc>
        <w:tc>
          <w:tcPr>
            <w:tcW w:type="dxa" w:w="1440"/>
          </w:tcPr>
          <w:p>
            <w:r>
              <w:t>PEGDA1TPO10SiNP Sa1 Si2</w:t>
            </w:r>
          </w:p>
        </w:tc>
        <w:tc>
          <w:tcPr>
            <w:tcW w:type="dxa" w:w="1440"/>
          </w:tcPr>
          <w:p>
            <w:r>
              <w:t>99</w:t>
            </w:r>
          </w:p>
        </w:tc>
        <w:tc>
          <w:tcPr>
            <w:tcW w:type="dxa" w:w="1440"/>
          </w:tcPr>
          <w:p>
            <w:r>
              <w:t>3.02</w:t>
            </w:r>
          </w:p>
        </w:tc>
        <w:tc>
          <w:tcPr>
            <w:tcW w:type="dxa" w:w="1440"/>
          </w:tcPr>
          <w:p>
            <w:r>
              <w:t>1.98</w:t>
            </w:r>
          </w:p>
        </w:tc>
        <w:tc>
          <w:tcPr>
            <w:tcW w:type="dxa" w:w="1440"/>
          </w:tcPr>
          <w:p>
            <w:r>
              <w:t>86.9%</w:t>
            </w:r>
          </w:p>
        </w:tc>
      </w:tr>
      <w:tr>
        <w:tc>
          <w:tcPr>
            <w:tcW w:type="dxa" w:w="1440"/>
          </w:tcPr>
          <w:p>
            <w:r>
              <w:t>10 wt% SiNP</w:t>
            </w:r>
          </w:p>
        </w:tc>
        <w:tc>
          <w:tcPr>
            <w:tcW w:type="dxa" w:w="1440"/>
          </w:tcPr>
          <w:p>
            <w:r>
              <w:t>PEGDA1TPO10SiNP Sam02 S1</w:t>
            </w:r>
          </w:p>
        </w:tc>
        <w:tc>
          <w:tcPr>
            <w:tcW w:type="dxa" w:w="1440"/>
          </w:tcPr>
          <w:p>
            <w:r>
              <w:t>100</w:t>
            </w:r>
          </w:p>
        </w:tc>
        <w:tc>
          <w:tcPr>
            <w:tcW w:type="dxa" w:w="1440"/>
          </w:tcPr>
          <w:p>
            <w:r>
              <w:t>3.26</w:t>
            </w:r>
          </w:p>
        </w:tc>
        <w:tc>
          <w:tcPr>
            <w:tcW w:type="dxa" w:w="1440"/>
          </w:tcPr>
          <w:p>
            <w:r>
              <w:t>1.67</w:t>
            </w:r>
          </w:p>
        </w:tc>
        <w:tc>
          <w:tcPr>
            <w:tcW w:type="dxa" w:w="1440"/>
          </w:tcPr>
          <w:p>
            <w:r>
              <w:t>95.0%</w:t>
            </w:r>
          </w:p>
        </w:tc>
      </w:tr>
      <w:tr>
        <w:tc>
          <w:tcPr>
            <w:tcW w:type="dxa" w:w="1440"/>
          </w:tcPr>
          <w:p>
            <w:r>
              <w:t>10 wt% SiNP</w:t>
            </w:r>
          </w:p>
        </w:tc>
        <w:tc>
          <w:tcPr>
            <w:tcW w:type="dxa" w:w="1440"/>
          </w:tcPr>
          <w:p>
            <w:r>
              <w:t>PEGDA1TPO10SiNP Sam02 S2</w:t>
            </w:r>
          </w:p>
        </w:tc>
        <w:tc>
          <w:tcPr>
            <w:tcW w:type="dxa" w:w="1440"/>
          </w:tcPr>
          <w:p>
            <w:r>
              <w:t>99</w:t>
            </w:r>
          </w:p>
        </w:tc>
        <w:tc>
          <w:tcPr>
            <w:tcW w:type="dxa" w:w="1440"/>
          </w:tcPr>
          <w:p>
            <w:r>
              <w:t>2.76</w:t>
            </w:r>
          </w:p>
        </w:tc>
        <w:tc>
          <w:tcPr>
            <w:tcW w:type="dxa" w:w="1440"/>
          </w:tcPr>
          <w:p>
            <w:r>
              <w:t>1.87</w:t>
            </w:r>
          </w:p>
        </w:tc>
        <w:tc>
          <w:tcPr>
            <w:tcW w:type="dxa" w:w="1440"/>
          </w:tcPr>
          <w:p>
            <w:r>
              <w:t>92.9%</w:t>
            </w:r>
          </w:p>
        </w:tc>
      </w:tr>
      <w:tr>
        <w:tc>
          <w:tcPr>
            <w:tcW w:type="dxa" w:w="1440"/>
          </w:tcPr>
          <w:p>
            <w:r>
              <w:t>25 wt% SiNP</w:t>
            </w:r>
          </w:p>
        </w:tc>
        <w:tc>
          <w:tcPr>
            <w:tcW w:type="dxa" w:w="1440"/>
          </w:tcPr>
          <w:p>
            <w:r>
              <w:t>PEGDA1TPO25SiNP Sam01 S2</w:t>
            </w:r>
          </w:p>
        </w:tc>
        <w:tc>
          <w:tcPr>
            <w:tcW w:type="dxa" w:w="1440"/>
          </w:tcPr>
          <w:p>
            <w:r>
              <w:t>55</w:t>
            </w:r>
          </w:p>
        </w:tc>
        <w:tc>
          <w:tcPr>
            <w:tcW w:type="dxa" w:w="1440"/>
          </w:tcPr>
          <w:p>
            <w:r>
              <w:t>3.51</w:t>
            </w:r>
          </w:p>
        </w:tc>
        <w:tc>
          <w:tcPr>
            <w:tcW w:type="dxa" w:w="1440"/>
          </w:tcPr>
          <w:p>
            <w:r>
              <w:t>1.80</w:t>
            </w:r>
          </w:p>
        </w:tc>
        <w:tc>
          <w:tcPr>
            <w:tcW w:type="dxa" w:w="1440"/>
          </w:tcPr>
          <w:p>
            <w:r>
              <w:t>94.5%</w:t>
            </w:r>
          </w:p>
        </w:tc>
      </w:tr>
      <w:tr>
        <w:tc>
          <w:tcPr>
            <w:tcW w:type="dxa" w:w="1440"/>
          </w:tcPr>
          <w:p>
            <w:r>
              <w:t>25 wt% SiNP</w:t>
            </w:r>
          </w:p>
        </w:tc>
        <w:tc>
          <w:tcPr>
            <w:tcW w:type="dxa" w:w="1440"/>
          </w:tcPr>
          <w:p>
            <w:r>
              <w:t>PEGDA1TPO25SiNP Sam02 S1</w:t>
            </w:r>
          </w:p>
        </w:tc>
        <w:tc>
          <w:tcPr>
            <w:tcW w:type="dxa" w:w="1440"/>
          </w:tcPr>
          <w:p>
            <w:r>
              <w:t>105</w:t>
            </w:r>
          </w:p>
        </w:tc>
        <w:tc>
          <w:tcPr>
            <w:tcW w:type="dxa" w:w="1440"/>
          </w:tcPr>
          <w:p>
            <w:r>
              <w:t>3.01</w:t>
            </w:r>
          </w:p>
        </w:tc>
        <w:tc>
          <w:tcPr>
            <w:tcW w:type="dxa" w:w="1440"/>
          </w:tcPr>
          <w:p>
            <w:r>
              <w:t>1.64</w:t>
            </w:r>
          </w:p>
        </w:tc>
        <w:tc>
          <w:tcPr>
            <w:tcW w:type="dxa" w:w="1440"/>
          </w:tcPr>
          <w:p>
            <w:r>
              <w:t>97.1%</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1.64</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2.92</w:t>
            </w:r>
          </w:p>
        </w:tc>
        <w:tc>
          <w:tcPr>
            <w:tcW w:type="dxa" w:w="1440"/>
          </w:tcPr>
          <w:p>
            <w:r>
              <w:t>1.81</w:t>
            </w:r>
          </w:p>
        </w:tc>
        <w:tc>
          <w:tcPr>
            <w:tcW w:type="dxa" w:w="1440"/>
          </w:tcPr>
          <w:p>
            <w:r>
              <w:t>88.6%</w:t>
            </w:r>
          </w:p>
        </w:tc>
      </w:tr>
      <w:tr>
        <w:tc>
          <w:tcPr>
            <w:tcW w:type="dxa" w:w="1440"/>
          </w:tcPr>
          <w:p>
            <w:r>
              <w:t>25 wt% SiNP</w:t>
            </w:r>
          </w:p>
        </w:tc>
        <w:tc>
          <w:tcPr>
            <w:tcW w:type="dxa" w:w="1440"/>
          </w:tcPr>
          <w:p>
            <w:r>
              <w:t>PEGDA1TPO25SiNP Sam03 S2</w:t>
            </w:r>
          </w:p>
        </w:tc>
        <w:tc>
          <w:tcPr>
            <w:tcW w:type="dxa" w:w="1440"/>
          </w:tcPr>
          <w:p>
            <w:r>
              <w:t>105</w:t>
            </w:r>
          </w:p>
        </w:tc>
        <w:tc>
          <w:tcPr>
            <w:tcW w:type="dxa" w:w="1440"/>
          </w:tcPr>
          <w:p>
            <w:r>
              <w:t>2.74</w:t>
            </w:r>
          </w:p>
        </w:tc>
        <w:tc>
          <w:tcPr>
            <w:tcW w:type="dxa" w:w="1440"/>
          </w:tcPr>
          <w:p>
            <w:r>
              <w:t>1.53</w:t>
            </w:r>
          </w:p>
        </w:tc>
        <w:tc>
          <w:tcPr>
            <w:tcW w:type="dxa" w:w="1440"/>
          </w:tcPr>
          <w:p>
            <w:r>
              <w:t>92.4%</w:t>
            </w:r>
          </w:p>
        </w:tc>
      </w:tr>
    </w:tbl>
    <w:p>
      <w:r>
        <w:drawing>
          <wp:inline xmlns:a="http://schemas.openxmlformats.org/drawingml/2006/main" xmlns:pic="http://schemas.openxmlformats.org/drawingml/2006/picture">
            <wp:extent cx="5394960" cy="3596640"/>
            <wp:docPr id="18" name="Picture 18"/>
            <wp:cNvGraphicFramePr>
              <a:graphicFrameLocks noChangeAspect="1"/>
            </wp:cNvGraphicFramePr>
            <a:graphic>
              <a:graphicData uri="http://schemas.openxmlformats.org/drawingml/2006/picture">
                <pic:pic>
                  <pic:nvPicPr>
                    <pic:cNvPr id="0" name="fig_isolated_count_hist.png"/>
                    <pic:cNvPicPr/>
                  </pic:nvPicPr>
                  <pic:blipFill>
                    <a:blip r:embed="rId26"/>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9" name="Picture 19"/>
            <wp:cNvGraphicFramePr>
              <a:graphicFrameLocks noChangeAspect="1"/>
            </wp:cNvGraphicFramePr>
            <a:graphic>
              <a:graphicData uri="http://schemas.openxmlformats.org/drawingml/2006/picture">
                <pic:pic>
                  <pic:nvPicPr>
                    <pic:cNvPr id="0" name="fig_isolated_count_hist.png"/>
                    <pic:cNvPicPr/>
                  </pic:nvPicPr>
                  <pic:blipFill>
                    <a:blip r:embed="rId27"/>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20" name="Picture 20"/>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28"/>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21" name="Picture 21"/>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29"/>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r>
        <w:drawing>
          <wp:inline xmlns:a="http://schemas.openxmlformats.org/drawingml/2006/main" xmlns:pic="http://schemas.openxmlformats.org/drawingml/2006/picture">
            <wp:extent cx="5029200" cy="4191000"/>
            <wp:docPr id="22" name="Picture 22"/>
            <wp:cNvGraphicFramePr>
              <a:graphicFrameLocks noChangeAspect="1"/>
            </wp:cNvGraphicFramePr>
            <a:graphic>
              <a:graphicData uri="http://schemas.openxmlformats.org/drawingml/2006/picture">
                <pic:pic>
                  <pic:nvPicPr>
                    <pic:cNvPr id="0" name="fig_isolated_count_grid_std_wt10_particle_forward_medianbg_mean.png"/>
                    <pic:cNvPicPr/>
                  </pic:nvPicPr>
                  <pic:blipFill>
                    <a:blip r:embed="rId30"/>
                    <a:stretch>
                      <a:fillRect/>
                    </a:stretch>
                  </pic:blipFill>
                  <pic:spPr>
                    <a:xfrm>
                      <a:off x="0" y="0"/>
                      <a:ext cx="5029200" cy="4191000"/>
                    </a:xfrm>
                    <a:prstGeom prst="rect"/>
                  </pic:spPr>
                </pic:pic>
              </a:graphicData>
            </a:graphic>
          </wp:inline>
        </w:drawing>
      </w:r>
    </w:p>
    <w:p>
      <w:r>
        <w:drawing>
          <wp:inline xmlns:a="http://schemas.openxmlformats.org/drawingml/2006/main" xmlns:pic="http://schemas.openxmlformats.org/drawingml/2006/picture">
            <wp:extent cx="5029200" cy="4191000"/>
            <wp:docPr id="23" name="Picture 23"/>
            <wp:cNvGraphicFramePr>
              <a:graphicFrameLocks noChangeAspect="1"/>
            </wp:cNvGraphicFramePr>
            <a:graphic>
              <a:graphicData uri="http://schemas.openxmlformats.org/drawingml/2006/picture">
                <pic:pic>
                  <pic:nvPicPr>
                    <pic:cNvPr id="0" name="fig_isolated_count_grid_std_wt25_particle_forward_medianbg_mean.png"/>
                    <pic:cNvPicPr/>
                  </pic:nvPicPr>
                  <pic:blipFill>
                    <a:blip r:embed="rId31"/>
                    <a:stretch>
                      <a:fillRect/>
                    </a:stretch>
                  </pic:blipFill>
                  <pic:spPr>
                    <a:xfrm>
                      <a:off x="0" y="0"/>
                      <a:ext cx="5029200" cy="4191000"/>
                    </a:xfrm>
                    <a:prstGeom prst="rect"/>
                  </pic:spPr>
                </pic:pic>
              </a:graphicData>
            </a:graphic>
          </wp:inline>
        </w:drawing>
      </w:r>
    </w:p>
    <w:p>
      <w:r>
        <w:t>Figure 6.6b - Standard-deviation companions for the mean isolated-particle heatmaps under the primary route. These maps show the between-sample spread in isolated-candidate density at each scan position for the 10 wt% and 25 wt% grouped datasets.</w:t>
      </w:r>
    </w:p>
    <w:p>
      <w:r>
        <w:t>Source: C:\Users\Conor O'Brien\Dropbox\03_AML\00 IN-BOX\AFM Topo Particle processing OUT\run_grains_full_wt10_20260304_145519\summary_outputs\combined\fig_isolated_count_grid_std_wt10_particle_forward_medianbg_mean.png</w:t>
      </w:r>
    </w:p>
    <w:p>
      <w:r>
        <w:t>Source: C:\Users\Conor O'Brien\Dropbox\03_AML\00 IN-BOX\AFM Topo Particle processing OUT\run_grains_full_wt25_20260304_145519\summary_outputs\combined\fig_isolated_count_grid_std_wt25_particle_forward_medianbg_mean.png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6.6 -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3.203</w:t>
            </w:r>
          </w:p>
        </w:tc>
        <w:tc>
          <w:tcPr>
            <w:tcW w:type="dxa" w:w="1728"/>
          </w:tcPr>
          <w:p>
            <w:r>
              <w:t>10.2%</w:t>
            </w:r>
          </w:p>
        </w:tc>
        <w:tc>
          <w:tcPr>
            <w:tcW w:type="dxa" w:w="1728"/>
          </w:tcPr>
          <w:p>
            <w:r>
              <w:t>13</w:t>
            </w:r>
          </w:p>
        </w:tc>
        <w:tc>
          <w:tcPr>
            <w:tcW w:type="dxa" w:w="1728"/>
          </w:tcPr>
          <w:p>
            <w:r>
              <w:t>386</w:t>
            </w:r>
          </w:p>
        </w:tc>
      </w:tr>
      <w:tr>
        <w:tc>
          <w:tcPr>
            <w:tcW w:type="dxa" w:w="1728"/>
          </w:tcPr>
          <w:p>
            <w:r>
              <w:t>25 wt% SiNP</w:t>
            </w:r>
          </w:p>
        </w:tc>
        <w:tc>
          <w:tcPr>
            <w:tcW w:type="dxa" w:w="1728"/>
          </w:tcPr>
          <w:p>
            <w:r>
              <w:t>3.181</w:t>
            </w:r>
          </w:p>
        </w:tc>
        <w:tc>
          <w:tcPr>
            <w:tcW w:type="dxa" w:w="1728"/>
          </w:tcPr>
          <w:p>
            <w:r>
              <w:t>3.8%</w:t>
            </w:r>
          </w:p>
        </w:tc>
        <w:tc>
          <w:tcPr>
            <w:tcW w:type="dxa" w:w="1728"/>
          </w:tcPr>
          <w:p>
            <w:r>
              <w:t>13</w:t>
            </w:r>
          </w:p>
        </w:tc>
        <w:tc>
          <w:tcPr>
            <w:tcW w:type="dxa" w:w="1728"/>
          </w:tcPr>
          <w:p>
            <w:r>
              <w:t>404</w:t>
            </w:r>
          </w:p>
        </w:tc>
      </w:tr>
    </w:tbl>
    <w:p>
      <w:pPr>
        <w:pStyle w:val="Heading1"/>
      </w:pPr>
      <w:r>
        <w:t>6.4 Grain Metrics</w:t>
      </w:r>
    </w:p>
    <w:p>
      <w:r>
        <w:t>Grain exports are available for the full method matrix. These results are used here as supporting evidence for segmentation consistency across methods; they do not replace the particle-count or isolation metrics that control the Stage 1 feasibility decision.</w:t>
      </w:r>
    </w:p>
    <w:p>
      <w:r>
        <w:t>In this section, the grain summary table and the grain diameter distribution plots are intended to show whether the extracted grain populations remain broadly comparable across methods. The purpose is not to define feasibility from grain statistics alone, but to show that the underlying segmentation behavior is not changing so dramatically that the particle-based conclusions become uninterpretable.</w:t>
      </w:r>
    </w:p>
    <w:p>
      <w:r>
        <w:rPr>
          <w:b/>
        </w:rPr>
        <w:t>Table 6.7 -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430288</w:t>
            </w:r>
          </w:p>
        </w:tc>
        <w:tc>
          <w:tcPr>
            <w:tcW w:type="dxa" w:w="1234"/>
          </w:tcPr>
          <w:p>
            <w:r>
              <w:t>3796</w:t>
            </w:r>
          </w:p>
        </w:tc>
        <w:tc>
          <w:tcPr>
            <w:tcW w:type="dxa" w:w="1234"/>
          </w:tcPr>
          <w:p>
            <w:r>
              <w:t>1198</w:t>
            </w:r>
          </w:p>
        </w:tc>
        <w:tc>
          <w:tcPr>
            <w:tcW w:type="dxa" w:w="1234"/>
          </w:tcPr>
          <w:p>
            <w:r>
              <w:t>433.36 +/- 56.48 nm</w:t>
            </w:r>
          </w:p>
        </w:tc>
        <w:tc>
          <w:tcPr>
            <w:tcW w:type="dxa" w:w="1234"/>
          </w:tcPr>
          <w:p>
            <w:r>
              <w:t>432.64 +/- 57.56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Median BG + fixed 0 + p95</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Flatten + mean threshold</w:t>
            </w:r>
          </w:p>
        </w:tc>
        <w:tc>
          <w:tcPr>
            <w:tcW w:type="dxa" w:w="1234"/>
          </w:tcPr>
          <w:p>
            <w:r>
              <w:t>261027</w:t>
            </w:r>
          </w:p>
        </w:tc>
        <w:tc>
          <w:tcPr>
            <w:tcW w:type="dxa" w:w="1234"/>
          </w:tcPr>
          <w:p>
            <w:r>
              <w:t>553</w:t>
            </w:r>
          </w:p>
        </w:tc>
        <w:tc>
          <w:tcPr>
            <w:tcW w:type="dxa" w:w="1234"/>
          </w:tcPr>
          <w:p>
            <w:r>
              <w:t>377</w:t>
            </w:r>
          </w:p>
        </w:tc>
        <w:tc>
          <w:tcPr>
            <w:tcW w:type="dxa" w:w="1234"/>
          </w:tcPr>
          <w:p>
            <w:r>
              <w:t>428.71 +/- 55.48 nm</w:t>
            </w:r>
          </w:p>
        </w:tc>
        <w:tc>
          <w:tcPr>
            <w:tcW w:type="dxa" w:w="1234"/>
          </w:tcPr>
          <w:p>
            <w:r>
              <w:t>429.11 +/- 54.22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259300</w:t>
            </w:r>
          </w:p>
        </w:tc>
        <w:tc>
          <w:tcPr>
            <w:tcW w:type="dxa" w:w="1234"/>
          </w:tcPr>
          <w:p>
            <w:r>
              <w:t>548</w:t>
            </w:r>
          </w:p>
        </w:tc>
        <w:tc>
          <w:tcPr>
            <w:tcW w:type="dxa" w:w="1234"/>
          </w:tcPr>
          <w:p>
            <w:r>
              <w:t>370</w:t>
            </w:r>
          </w:p>
        </w:tc>
        <w:tc>
          <w:tcPr>
            <w:tcW w:type="dxa" w:w="1234"/>
          </w:tcPr>
          <w:p>
            <w:r>
              <w:t>429.71 +/- 56.80 nm</w:t>
            </w:r>
          </w:p>
        </w:tc>
        <w:tc>
          <w:tcPr>
            <w:tcW w:type="dxa" w:w="1234"/>
          </w:tcPr>
          <w:p>
            <w:r>
              <w:t>431.05 +/- 55.80 nm</w:t>
            </w:r>
          </w:p>
        </w:tc>
      </w:tr>
      <w:tr>
        <w:tc>
          <w:tcPr>
            <w:tcW w:type="dxa" w:w="1234"/>
          </w:tcPr>
          <w:p>
            <w:r>
              <w:t>10 wt% SiNP</w:t>
            </w:r>
          </w:p>
        </w:tc>
        <w:tc>
          <w:tcPr>
            <w:tcW w:type="dxa" w:w="1234"/>
          </w:tcPr>
          <w:p>
            <w:r>
              <w:t>Flatten + fixed 0 + p95</w:t>
            </w:r>
          </w:p>
        </w:tc>
        <w:tc>
          <w:tcPr>
            <w:tcW w:type="dxa" w:w="1234"/>
          </w:tcPr>
          <w:p>
            <w:r>
              <w:t>259283</w:t>
            </w:r>
          </w:p>
        </w:tc>
        <w:tc>
          <w:tcPr>
            <w:tcW w:type="dxa" w:w="1234"/>
          </w:tcPr>
          <w:p>
            <w:r>
              <w:t>547</w:t>
            </w:r>
          </w:p>
        </w:tc>
        <w:tc>
          <w:tcPr>
            <w:tcW w:type="dxa" w:w="1234"/>
          </w:tcPr>
          <w:p>
            <w:r>
              <w:t>369</w:t>
            </w:r>
          </w:p>
        </w:tc>
        <w:tc>
          <w:tcPr>
            <w:tcW w:type="dxa" w:w="1234"/>
          </w:tcPr>
          <w:p>
            <w:r>
              <w:t>429.52 +/- 56.68 nm</w:t>
            </w:r>
          </w:p>
        </w:tc>
        <w:tc>
          <w:tcPr>
            <w:tcW w:type="dxa" w:w="1234"/>
          </w:tcPr>
          <w:p>
            <w:r>
              <w:t>430.77 +/- 55.61 nm</w:t>
            </w:r>
          </w:p>
        </w:tc>
      </w:tr>
      <w:tr>
        <w:tc>
          <w:tcPr>
            <w:tcW w:type="dxa" w:w="1234"/>
          </w:tcPr>
          <w:p>
            <w:r>
              <w:t>25 wt% SiNP</w:t>
            </w:r>
          </w:p>
        </w:tc>
        <w:tc>
          <w:tcPr>
            <w:tcW w:type="dxa" w:w="1234"/>
          </w:tcPr>
          <w:p>
            <w:r>
              <w:t>Median BG + mean threshold</w:t>
            </w:r>
          </w:p>
        </w:tc>
        <w:tc>
          <w:tcPr>
            <w:tcW w:type="dxa" w:w="1234"/>
          </w:tcPr>
          <w:p>
            <w:r>
              <w:t>246321</w:t>
            </w:r>
          </w:p>
        </w:tc>
        <w:tc>
          <w:tcPr>
            <w:tcW w:type="dxa" w:w="1234"/>
          </w:tcPr>
          <w:p>
            <w:r>
              <w:t>3724</w:t>
            </w:r>
          </w:p>
        </w:tc>
        <w:tc>
          <w:tcPr>
            <w:tcW w:type="dxa" w:w="1234"/>
          </w:tcPr>
          <w:p>
            <w:r>
              <w:t>1230</w:t>
            </w:r>
          </w:p>
        </w:tc>
        <w:tc>
          <w:tcPr>
            <w:tcW w:type="dxa" w:w="1234"/>
          </w:tcPr>
          <w:p>
            <w:r>
              <w:t>440.77 +/- 57.48 nm</w:t>
            </w:r>
          </w:p>
        </w:tc>
        <w:tc>
          <w:tcPr>
            <w:tcW w:type="dxa" w:w="1234"/>
          </w:tcPr>
          <w:p>
            <w:r>
              <w:t>438.06 +/- 57.67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Median BG + fixed 0 + p95</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Flatten + mean threshold</w:t>
            </w:r>
          </w:p>
        </w:tc>
        <w:tc>
          <w:tcPr>
            <w:tcW w:type="dxa" w:w="1234"/>
          </w:tcPr>
          <w:p>
            <w:r>
              <w:t>81650</w:t>
            </w:r>
          </w:p>
        </w:tc>
        <w:tc>
          <w:tcPr>
            <w:tcW w:type="dxa" w:w="1234"/>
          </w:tcPr>
          <w:p>
            <w:r>
              <w:t>469</w:t>
            </w:r>
          </w:p>
        </w:tc>
        <w:tc>
          <w:tcPr>
            <w:tcW w:type="dxa" w:w="1234"/>
          </w:tcPr>
          <w:p>
            <w:r>
              <w:t>335</w:t>
            </w:r>
          </w:p>
        </w:tc>
        <w:tc>
          <w:tcPr>
            <w:tcW w:type="dxa" w:w="1234"/>
          </w:tcPr>
          <w:p>
            <w:r>
              <w:t>433.49 +/- 56.27 nm</w:t>
            </w:r>
          </w:p>
        </w:tc>
        <w:tc>
          <w:tcPr>
            <w:tcW w:type="dxa" w:w="1234"/>
          </w:tcPr>
          <w:p>
            <w:r>
              <w:t>435.98 +/- 57.46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76038</w:t>
            </w:r>
          </w:p>
        </w:tc>
        <w:tc>
          <w:tcPr>
            <w:tcW w:type="dxa" w:w="1234"/>
          </w:tcPr>
          <w:p>
            <w:r>
              <w:t>465</w:t>
            </w:r>
          </w:p>
        </w:tc>
        <w:tc>
          <w:tcPr>
            <w:tcW w:type="dxa" w:w="1234"/>
          </w:tcPr>
          <w:p>
            <w:r>
              <w:t>342</w:t>
            </w:r>
          </w:p>
        </w:tc>
        <w:tc>
          <w:tcPr>
            <w:tcW w:type="dxa" w:w="1234"/>
          </w:tcPr>
          <w:p>
            <w:r>
              <w:t>431.87 +/- 55.25 nm</w:t>
            </w:r>
          </w:p>
        </w:tc>
        <w:tc>
          <w:tcPr>
            <w:tcW w:type="dxa" w:w="1234"/>
          </w:tcPr>
          <w:p>
            <w:r>
              <w:t>433.57 +/- 55.61 nm</w:t>
            </w:r>
          </w:p>
        </w:tc>
      </w:tr>
      <w:tr>
        <w:tc>
          <w:tcPr>
            <w:tcW w:type="dxa" w:w="1234"/>
          </w:tcPr>
          <w:p>
            <w:r>
              <w:t>25 wt% SiNP</w:t>
            </w:r>
          </w:p>
        </w:tc>
        <w:tc>
          <w:tcPr>
            <w:tcW w:type="dxa" w:w="1234"/>
          </w:tcPr>
          <w:p>
            <w:r>
              <w:t>Flatten + fixed 0 + p95</w:t>
            </w:r>
          </w:p>
        </w:tc>
        <w:tc>
          <w:tcPr>
            <w:tcW w:type="dxa" w:w="1234"/>
          </w:tcPr>
          <w:p>
            <w:r>
              <w:t>76009</w:t>
            </w:r>
          </w:p>
        </w:tc>
        <w:tc>
          <w:tcPr>
            <w:tcW w:type="dxa" w:w="1234"/>
          </w:tcPr>
          <w:p>
            <w:r>
              <w:t>463</w:t>
            </w:r>
          </w:p>
        </w:tc>
        <w:tc>
          <w:tcPr>
            <w:tcW w:type="dxa" w:w="1234"/>
          </w:tcPr>
          <w:p>
            <w:r>
              <w:t>340</w:t>
            </w:r>
          </w:p>
        </w:tc>
        <w:tc>
          <w:tcPr>
            <w:tcW w:type="dxa" w:w="1234"/>
          </w:tcPr>
          <w:p>
            <w:r>
              <w:t>431.80 +/- 55.35 nm</w:t>
            </w:r>
          </w:p>
        </w:tc>
        <w:tc>
          <w:tcPr>
            <w:tcW w:type="dxa" w:w="1234"/>
          </w:tcPr>
          <w:p>
            <w:r>
              <w:t>433.48 +/- 55.76 nm</w:t>
            </w:r>
          </w:p>
        </w:tc>
      </w:tr>
    </w:tbl>
    <w:p>
      <w:r>
        <w:rPr>
          <w:b/>
        </w:rPr>
        <w:t>Table 6.7b - Grain summary by processing family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Processing family</w:t>
            </w:r>
          </w:p>
        </w:tc>
        <w:tc>
          <w:tcPr>
            <w:tcW w:type="dxa" w:w="1440"/>
          </w:tcPr>
          <w:p>
            <w:r>
              <w:t>Avg. grain kept</w:t>
            </w:r>
          </w:p>
        </w:tc>
        <w:tc>
          <w:tcPr>
            <w:tcW w:type="dxa" w:w="1440"/>
          </w:tcPr>
          <w:p>
            <w:r>
              <w:t>Avg. grain isolated</w:t>
            </w:r>
          </w:p>
        </w:tc>
        <w:tc>
          <w:tcPr>
            <w:tcW w:type="dxa" w:w="1440"/>
          </w:tcPr>
          <w:p>
            <w:r>
              <w:t>Avg. kept diameter mean +/- std</w:t>
            </w:r>
          </w:p>
        </w:tc>
        <w:tc>
          <w:tcPr>
            <w:tcW w:type="dxa" w:w="1440"/>
          </w:tcPr>
          <w:p>
            <w:r>
              <w:t>Avg. isolated diameter mean +/- std</w:t>
            </w:r>
          </w:p>
        </w:tc>
      </w:tr>
      <w:tr>
        <w:tc>
          <w:tcPr>
            <w:tcW w:type="dxa" w:w="1440"/>
          </w:tcPr>
          <w:p>
            <w:r>
              <w:t>10 wt% SiNP</w:t>
            </w:r>
          </w:p>
        </w:tc>
        <w:tc>
          <w:tcPr>
            <w:tcW w:type="dxa" w:w="1440"/>
          </w:tcPr>
          <w:p>
            <w:r>
              <w:t>All methods</w:t>
            </w:r>
          </w:p>
        </w:tc>
        <w:tc>
          <w:tcPr>
            <w:tcW w:type="dxa" w:w="1440"/>
          </w:tcPr>
          <w:p>
            <w:r>
              <w:t>1782.1</w:t>
            </w:r>
          </w:p>
        </w:tc>
        <w:tc>
          <w:tcPr>
            <w:tcW w:type="dxa" w:w="1440"/>
          </w:tcPr>
          <w:p>
            <w:r>
              <w:t>743.1</w:t>
            </w:r>
          </w:p>
        </w:tc>
        <w:tc>
          <w:tcPr>
            <w:tcW w:type="dxa" w:w="1440"/>
          </w:tcPr>
          <w:p>
            <w:r>
              <w:t>430.96 +/- 56.43</w:t>
            </w:r>
          </w:p>
        </w:tc>
        <w:tc>
          <w:tcPr>
            <w:tcW w:type="dxa" w:w="1440"/>
          </w:tcPr>
          <w:p>
            <w:r>
              <w:t>430.38 +/- 55.95</w:t>
            </w:r>
          </w:p>
        </w:tc>
      </w:tr>
      <w:tr>
        <w:tc>
          <w:tcPr>
            <w:tcW w:type="dxa" w:w="1440"/>
          </w:tcPr>
          <w:p>
            <w:r>
              <w:t>10 wt% SiNP</w:t>
            </w:r>
          </w:p>
        </w:tc>
        <w:tc>
          <w:tcPr>
            <w:tcW w:type="dxa" w:w="1440"/>
          </w:tcPr>
          <w:p>
            <w:r>
              <w:t>Flatten base</w:t>
            </w:r>
          </w:p>
        </w:tc>
        <w:tc>
          <w:tcPr>
            <w:tcW w:type="dxa" w:w="1440"/>
          </w:tcPr>
          <w:p>
            <w:r>
              <w:t>541.0</w:t>
            </w:r>
          </w:p>
        </w:tc>
        <w:tc>
          <w:tcPr>
            <w:tcW w:type="dxa" w:w="1440"/>
          </w:tcPr>
          <w:p>
            <w:r>
              <w:t>366.5</w:t>
            </w:r>
          </w:p>
        </w:tc>
        <w:tc>
          <w:tcPr>
            <w:tcW w:type="dxa" w:w="1440"/>
          </w:tcPr>
          <w:p>
            <w:r>
              <w:t>429.04 +/- 56.25</w:t>
            </w:r>
          </w:p>
        </w:tc>
        <w:tc>
          <w:tcPr>
            <w:tcW w:type="dxa" w:w="1440"/>
          </w:tcPr>
          <w:p>
            <w:r>
              <w:t>429.96 +/- 55.06</w:t>
            </w:r>
          </w:p>
        </w:tc>
      </w:tr>
      <w:tr>
        <w:tc>
          <w:tcPr>
            <w:tcW w:type="dxa" w:w="1440"/>
          </w:tcPr>
          <w:p>
            <w:r>
              <w:t>10 wt% SiNP</w:t>
            </w:r>
          </w:p>
        </w:tc>
        <w:tc>
          <w:tcPr>
            <w:tcW w:type="dxa" w:w="1440"/>
          </w:tcPr>
          <w:p>
            <w:r>
              <w:t>Median background</w:t>
            </w:r>
          </w:p>
        </w:tc>
        <w:tc>
          <w:tcPr>
            <w:tcW w:type="dxa" w:w="1440"/>
          </w:tcPr>
          <w:p>
            <w:r>
              <w:t>3023.2</w:t>
            </w:r>
          </w:p>
        </w:tc>
        <w:tc>
          <w:tcPr>
            <w:tcW w:type="dxa" w:w="1440"/>
          </w:tcPr>
          <w:p>
            <w:r>
              <w:t>1119.8</w:t>
            </w:r>
          </w:p>
        </w:tc>
        <w:tc>
          <w:tcPr>
            <w:tcW w:type="dxa" w:w="1440"/>
          </w:tcPr>
          <w:p>
            <w:r>
              <w:t>432.88 +/- 56.61</w:t>
            </w:r>
          </w:p>
        </w:tc>
        <w:tc>
          <w:tcPr>
            <w:tcW w:type="dxa" w:w="1440"/>
          </w:tcPr>
          <w:p>
            <w:r>
              <w:t>430.81 +/- 56.85</w:t>
            </w:r>
          </w:p>
        </w:tc>
      </w:tr>
      <w:tr>
        <w:tc>
          <w:tcPr>
            <w:tcW w:type="dxa" w:w="1440"/>
          </w:tcPr>
          <w:p>
            <w:r>
              <w:t>25 wt% SiNP</w:t>
            </w:r>
          </w:p>
        </w:tc>
        <w:tc>
          <w:tcPr>
            <w:tcW w:type="dxa" w:w="1440"/>
          </w:tcPr>
          <w:p>
            <w:r>
              <w:t>All methods</w:t>
            </w:r>
          </w:p>
        </w:tc>
        <w:tc>
          <w:tcPr>
            <w:tcW w:type="dxa" w:w="1440"/>
          </w:tcPr>
          <w:p>
            <w:r>
              <w:t>1874.2</w:t>
            </w:r>
          </w:p>
        </w:tc>
        <w:tc>
          <w:tcPr>
            <w:tcW w:type="dxa" w:w="1440"/>
          </w:tcPr>
          <w:p>
            <w:r>
              <w:t>743.9</w:t>
            </w:r>
          </w:p>
        </w:tc>
        <w:tc>
          <w:tcPr>
            <w:tcW w:type="dxa" w:w="1440"/>
          </w:tcPr>
          <w:p>
            <w:r>
              <w:t>437.83 +/- 56.90</w:t>
            </w:r>
          </w:p>
        </w:tc>
        <w:tc>
          <w:tcPr>
            <w:tcW w:type="dxa" w:w="1440"/>
          </w:tcPr>
          <w:p>
            <w:r>
              <w:t>436.62 +/- 57.03</w:t>
            </w:r>
          </w:p>
        </w:tc>
      </w:tr>
      <w:tr>
        <w:tc>
          <w:tcPr>
            <w:tcW w:type="dxa" w:w="1440"/>
          </w:tcPr>
          <w:p>
            <w:r>
              <w:t>25 wt% SiNP</w:t>
            </w:r>
          </w:p>
        </w:tc>
        <w:tc>
          <w:tcPr>
            <w:tcW w:type="dxa" w:w="1440"/>
          </w:tcPr>
          <w:p>
            <w:r>
              <w:t>Flatten base</w:t>
            </w:r>
          </w:p>
        </w:tc>
        <w:tc>
          <w:tcPr>
            <w:tcW w:type="dxa" w:w="1440"/>
          </w:tcPr>
          <w:p>
            <w:r>
              <w:t>462.0</w:t>
            </w:r>
          </w:p>
        </w:tc>
        <w:tc>
          <w:tcPr>
            <w:tcW w:type="dxa" w:w="1440"/>
          </w:tcPr>
          <w:p>
            <w:r>
              <w:t>335.0</w:t>
            </w:r>
          </w:p>
        </w:tc>
        <w:tc>
          <w:tcPr>
            <w:tcW w:type="dxa" w:w="1440"/>
          </w:tcPr>
          <w:p>
            <w:r>
              <w:t>432.82 +/- 55.93</w:t>
            </w:r>
          </w:p>
        </w:tc>
        <w:tc>
          <w:tcPr>
            <w:tcW w:type="dxa" w:w="1440"/>
          </w:tcPr>
          <w:p>
            <w:r>
              <w:t>434.63 +/- 56.52</w:t>
            </w:r>
          </w:p>
        </w:tc>
      </w:tr>
      <w:tr>
        <w:tc>
          <w:tcPr>
            <w:tcW w:type="dxa" w:w="1440"/>
          </w:tcPr>
          <w:p>
            <w:r>
              <w:t>25 wt% SiNP</w:t>
            </w:r>
          </w:p>
        </w:tc>
        <w:tc>
          <w:tcPr>
            <w:tcW w:type="dxa" w:w="1440"/>
          </w:tcPr>
          <w:p>
            <w:r>
              <w:t>Median background</w:t>
            </w:r>
          </w:p>
        </w:tc>
        <w:tc>
          <w:tcPr>
            <w:tcW w:type="dxa" w:w="1440"/>
          </w:tcPr>
          <w:p>
            <w:r>
              <w:t>3286.5</w:t>
            </w:r>
          </w:p>
        </w:tc>
        <w:tc>
          <w:tcPr>
            <w:tcW w:type="dxa" w:w="1440"/>
          </w:tcPr>
          <w:p>
            <w:r>
              <w:t>1152.8</w:t>
            </w:r>
          </w:p>
        </w:tc>
        <w:tc>
          <w:tcPr>
            <w:tcW w:type="dxa" w:w="1440"/>
          </w:tcPr>
          <w:p>
            <w:r>
              <w:t>442.84 +/- 57.87</w:t>
            </w:r>
          </w:p>
        </w:tc>
        <w:tc>
          <w:tcPr>
            <w:tcW w:type="dxa" w:w="1440"/>
          </w:tcPr>
          <w:p>
            <w:r>
              <w:t>438.61 +/- 57.53</w:t>
            </w:r>
          </w:p>
        </w:tc>
      </w:tr>
    </w:tbl>
    <w:p>
      <w:r>
        <w:drawing>
          <wp:inline xmlns:a="http://schemas.openxmlformats.org/drawingml/2006/main" xmlns:pic="http://schemas.openxmlformats.org/drawingml/2006/picture">
            <wp:extent cx="5212080" cy="2084832"/>
            <wp:docPr id="24" name="Picture 24"/>
            <wp:cNvGraphicFramePr>
              <a:graphicFrameLocks noChangeAspect="1"/>
            </wp:cNvGraphicFramePr>
            <a:graphic>
              <a:graphicData uri="http://schemas.openxmlformats.org/drawingml/2006/picture">
                <pic:pic>
                  <pic:nvPicPr>
                    <pic:cNvPr id="0" name="fig_grain_diameter_nm_kept_box_by_job.png"/>
                    <pic:cNvPicPr/>
                  </pic:nvPicPr>
                  <pic:blipFill>
                    <a:blip r:embed="rId32"/>
                    <a:stretch>
                      <a:fillRect/>
                    </a:stretch>
                  </pic:blipFill>
                  <pic:spPr>
                    <a:xfrm>
                      <a:off x="0" y="0"/>
                      <a:ext cx="5212080" cy="2084832"/>
                    </a:xfrm>
                    <a:prstGeom prst="rect"/>
                  </pic:spPr>
                </pic:pic>
              </a:graphicData>
            </a:graphic>
          </wp:inline>
        </w:drawing>
      </w:r>
    </w:p>
    <w:p>
      <w:r>
        <w:drawing>
          <wp:inline xmlns:a="http://schemas.openxmlformats.org/drawingml/2006/main" xmlns:pic="http://schemas.openxmlformats.org/drawingml/2006/picture">
            <wp:extent cx="5212080" cy="2084832"/>
            <wp:docPr id="25" name="Picture 25"/>
            <wp:cNvGraphicFramePr>
              <a:graphicFrameLocks noChangeAspect="1"/>
            </wp:cNvGraphicFramePr>
            <a:graphic>
              <a:graphicData uri="http://schemas.openxmlformats.org/drawingml/2006/picture">
                <pic:pic>
                  <pic:nvPicPr>
                    <pic:cNvPr id="0" name="fig_grain_diameter_nm_kept_box_by_job.png"/>
                    <pic:cNvPicPr/>
                  </pic:nvPicPr>
                  <pic:blipFill>
                    <a:blip r:embed="rId33"/>
                    <a:stretch>
                      <a:fillRect/>
                    </a:stretch>
                  </pic:blipFill>
                  <pic:spPr>
                    <a:xfrm>
                      <a:off x="0" y="0"/>
                      <a:ext cx="5212080" cy="2084832"/>
                    </a:xfrm>
                    <a:prstGeom prst="rect"/>
                  </pic:spPr>
                </pic:pic>
              </a:graphicData>
            </a:graphic>
          </wp:inline>
        </w:drawing>
      </w:r>
    </w:p>
    <w:p>
      <w:r>
        <w:t>Figure 6.7 - Grain diameter distributions by method for PEGDA, 1 wt% TPO, no coating, separated by 10 wt% and 25 wt% SiNP. These summaries are used as supporting evidence that the segmented grain populations remain broadly comparable across methods.</w:t>
      </w:r>
    </w:p>
    <w:p>
      <w:r>
        <w:t>Source: C:\Users\Conor O'Brien\Dropbox\03_AML\00 IN-BOX\AFM Topo Particle processing OUT\run_grains_full_wt10_20260304_145519\summary_outputs\grain_compare\fig_grain_diameter_nm_kept_box_by_job.png</w:t>
      </w:r>
    </w:p>
    <w:p>
      <w:r>
        <w:t>Source: C:\Users\Conor O'Brien\Dropbox\03_AML\00 IN-BOX\AFM Topo Particle processing OUT\run_grains_full_wt25_20260304_145519\summary_outputs\grain_compare\fig_grain_diameter_nm_kept_box_by_job.png</w:t>
      </w:r>
    </w:p>
    <w:p>
      <w:r>
        <w:drawing>
          <wp:inline xmlns:a="http://schemas.openxmlformats.org/drawingml/2006/main" xmlns:pic="http://schemas.openxmlformats.org/drawingml/2006/picture">
            <wp:extent cx="5212080" cy="2084832"/>
            <wp:docPr id="26" name="Picture 26"/>
            <wp:cNvGraphicFramePr>
              <a:graphicFrameLocks noChangeAspect="1"/>
            </wp:cNvGraphicFramePr>
            <a:graphic>
              <a:graphicData uri="http://schemas.openxmlformats.org/drawingml/2006/picture">
                <pic:pic>
                  <pic:nvPicPr>
                    <pic:cNvPr id="0" name="fig_grain_diameter_nm_kept_mean_by_job.png"/>
                    <pic:cNvPicPr/>
                  </pic:nvPicPr>
                  <pic:blipFill>
                    <a:blip r:embed="rId34"/>
                    <a:stretch>
                      <a:fillRect/>
                    </a:stretch>
                  </pic:blipFill>
                  <pic:spPr>
                    <a:xfrm>
                      <a:off x="0" y="0"/>
                      <a:ext cx="5212080" cy="2084832"/>
                    </a:xfrm>
                    <a:prstGeom prst="rect"/>
                  </pic:spPr>
                </pic:pic>
              </a:graphicData>
            </a:graphic>
          </wp:inline>
        </w:drawing>
      </w:r>
    </w:p>
    <w:p>
      <w:r>
        <w:drawing>
          <wp:inline xmlns:a="http://schemas.openxmlformats.org/drawingml/2006/main" xmlns:pic="http://schemas.openxmlformats.org/drawingml/2006/picture">
            <wp:extent cx="5212080" cy="2084832"/>
            <wp:docPr id="27" name="Picture 27"/>
            <wp:cNvGraphicFramePr>
              <a:graphicFrameLocks noChangeAspect="1"/>
            </wp:cNvGraphicFramePr>
            <a:graphic>
              <a:graphicData uri="http://schemas.openxmlformats.org/drawingml/2006/picture">
                <pic:pic>
                  <pic:nvPicPr>
                    <pic:cNvPr id="0" name="fig_grain_diameter_nm_kept_mean_by_job.png"/>
                    <pic:cNvPicPr/>
                  </pic:nvPicPr>
                  <pic:blipFill>
                    <a:blip r:embed="rId35"/>
                    <a:stretch>
                      <a:fillRect/>
                    </a:stretch>
                  </pic:blipFill>
                  <pic:spPr>
                    <a:xfrm>
                      <a:off x="0" y="0"/>
                      <a:ext cx="5212080" cy="2084832"/>
                    </a:xfrm>
                    <a:prstGeom prst="rect"/>
                  </pic:spPr>
                </pic:pic>
              </a:graphicData>
            </a:graphic>
          </wp:inline>
        </w:drawing>
      </w:r>
    </w:p>
    <w:p>
      <w:r>
        <w:t>Figure 6.7b - Grain diameter summary bars by method for PEGDA, 1 wt% TPO, no coating, separated by 10 wt% and 25 wt% SiNP. These plots show method-level mean and standard deviation, while the box plots show the corresponding distribution spread.</w:t>
      </w:r>
    </w:p>
    <w:p>
      <w:r>
        <w:t>Source: C:\Users\Conor O'Brien\Dropbox\03_AML\00 IN-BOX\AFM Topo Particle processing OUT\run_grains_full_wt10_20260304_145519\summary_outputs\grain_compare\fig_grain_diameter_nm_kept_mean_by_job.png</w:t>
      </w:r>
    </w:p>
    <w:p>
      <w:r>
        <w:t>Source: C:\Users\Conor O'Brien\Dropbox\03_AML\00 IN-BOX\AFM Topo Particle processing OUT\run_grains_full_wt25_20260304_145519\summary_outputs\grain_compare\fig_grain_diameter_nm_kept_mean_by_job.png</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3.10 +/- 1.82 to 0.98 +/- 1.17 per scan in 10 wt% SiNP and from 3.04 +/- 1.70 to 0.83 +/- 1.05 per scan in 25 wt% SiNP. The corresponding 95% scan requirements increased from 13 to 28 scans and from 13 to 46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6.8 -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3.10</w:t>
            </w:r>
          </w:p>
        </w:tc>
        <w:tc>
          <w:tcPr>
            <w:tcW w:type="dxa" w:w="960"/>
          </w:tcPr>
          <w:p>
            <w:r>
              <w:t>1.82</w:t>
            </w:r>
          </w:p>
        </w:tc>
        <w:tc>
          <w:tcPr>
            <w:tcW w:type="dxa" w:w="960"/>
          </w:tcPr>
          <w:p>
            <w:r>
              <w:t>8.0%</w:t>
            </w:r>
          </w:p>
        </w:tc>
        <w:tc>
          <w:tcPr>
            <w:tcW w:type="dxa" w:w="960"/>
          </w:tcPr>
          <w:p>
            <w:r>
              <w:t>13</w:t>
            </w:r>
          </w:p>
        </w:tc>
        <w:tc>
          <w:tcPr>
            <w:tcW w:type="dxa" w:w="960"/>
          </w:tcPr>
          <w:p>
            <w:r>
              <w:t>1.00x</w:t>
            </w:r>
          </w:p>
        </w:tc>
        <w:tc>
          <w:tcPr>
            <w:tcW w:type="dxa" w:w="960"/>
          </w:tcPr>
          <w:p>
            <w:r>
              <w:t>0.310</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0.98x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0.98</w:t>
            </w:r>
          </w:p>
        </w:tc>
        <w:tc>
          <w:tcPr>
            <w:tcW w:type="dxa" w:w="960"/>
          </w:tcPr>
          <w:p>
            <w:r>
              <w:t>1.17</w:t>
            </w:r>
          </w:p>
        </w:tc>
        <w:tc>
          <w:tcPr>
            <w:tcW w:type="dxa" w:w="960"/>
          </w:tcPr>
          <w:p>
            <w:r>
              <w:t>46.1%</w:t>
            </w:r>
          </w:p>
        </w:tc>
        <w:tc>
          <w:tcPr>
            <w:tcW w:type="dxa" w:w="960"/>
          </w:tcPr>
          <w:p>
            <w:r>
              <w:t>28</w:t>
            </w:r>
          </w:p>
        </w:tc>
        <w:tc>
          <w:tcPr>
            <w:tcW w:type="dxa" w:w="960"/>
          </w:tcPr>
          <w:p>
            <w:r>
              <w:t>0.31x</w:t>
            </w:r>
          </w:p>
        </w:tc>
        <w:tc>
          <w:tcPr>
            <w:tcW w:type="dxa" w:w="960"/>
          </w:tcPr>
          <w:p>
            <w:r>
              <w:t>0.098</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28</w:t>
            </w:r>
          </w:p>
        </w:tc>
        <w:tc>
          <w:tcPr>
            <w:tcW w:type="dxa" w:w="960"/>
          </w:tcPr>
          <w:p>
            <w:r>
              <w:t>0.29x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0.96</w:t>
            </w:r>
          </w:p>
        </w:tc>
        <w:tc>
          <w:tcPr>
            <w:tcW w:type="dxa" w:w="960"/>
          </w:tcPr>
          <w:p>
            <w:r>
              <w:t>1.17</w:t>
            </w:r>
          </w:p>
        </w:tc>
        <w:tc>
          <w:tcPr>
            <w:tcW w:type="dxa" w:w="960"/>
          </w:tcPr>
          <w:p>
            <w:r>
              <w:t>47.4%</w:t>
            </w:r>
          </w:p>
        </w:tc>
        <w:tc>
          <w:tcPr>
            <w:tcW w:type="dxa" w:w="960"/>
          </w:tcPr>
          <w:p>
            <w:r>
              <w:t>28</w:t>
            </w:r>
          </w:p>
        </w:tc>
        <w:tc>
          <w:tcPr>
            <w:tcW w:type="dxa" w:w="960"/>
          </w:tcPr>
          <w:p>
            <w:r>
              <w:t>0.31x</w:t>
            </w:r>
          </w:p>
        </w:tc>
        <w:tc>
          <w:tcPr>
            <w:tcW w:type="dxa" w:w="960"/>
          </w:tcPr>
          <w:p>
            <w:r>
              <w:t>0.096</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0.96</w:t>
            </w:r>
          </w:p>
        </w:tc>
        <w:tc>
          <w:tcPr>
            <w:tcW w:type="dxa" w:w="960"/>
          </w:tcPr>
          <w:p>
            <w:r>
              <w:t>1.17</w:t>
            </w:r>
          </w:p>
        </w:tc>
        <w:tc>
          <w:tcPr>
            <w:tcW w:type="dxa" w:w="960"/>
          </w:tcPr>
          <w:p>
            <w:r>
              <w:t>47.7%</w:t>
            </w:r>
          </w:p>
        </w:tc>
        <w:tc>
          <w:tcPr>
            <w:tcW w:type="dxa" w:w="960"/>
          </w:tcPr>
          <w:p>
            <w:r>
              <w:t>28</w:t>
            </w:r>
          </w:p>
        </w:tc>
        <w:tc>
          <w:tcPr>
            <w:tcW w:type="dxa" w:w="960"/>
          </w:tcPr>
          <w:p>
            <w:r>
              <w:t>0.31x</w:t>
            </w:r>
          </w:p>
        </w:tc>
        <w:tc>
          <w:tcPr>
            <w:tcW w:type="dxa" w:w="960"/>
          </w:tcPr>
          <w:p>
            <w:r>
              <w:t>0.096</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3.04</w:t>
            </w:r>
          </w:p>
        </w:tc>
        <w:tc>
          <w:tcPr>
            <w:tcW w:type="dxa" w:w="960"/>
          </w:tcPr>
          <w:p>
            <w:r>
              <w:t>1.70</w:t>
            </w:r>
          </w:p>
        </w:tc>
        <w:tc>
          <w:tcPr>
            <w:tcW w:type="dxa" w:w="960"/>
          </w:tcPr>
          <w:p>
            <w:r>
              <w:t>6.4%</w:t>
            </w:r>
          </w:p>
        </w:tc>
        <w:tc>
          <w:tcPr>
            <w:tcW w:type="dxa" w:w="960"/>
          </w:tcPr>
          <w:p>
            <w:r>
              <w:t>13</w:t>
            </w:r>
          </w:p>
        </w:tc>
        <w:tc>
          <w:tcPr>
            <w:tcW w:type="dxa" w:w="960"/>
          </w:tcPr>
          <w:p>
            <w:r>
              <w:t>1.00x</w:t>
            </w:r>
          </w:p>
        </w:tc>
        <w:tc>
          <w:tcPr>
            <w:tcW w:type="dxa" w:w="960"/>
          </w:tcPr>
          <w:p>
            <w:r>
              <w:t>0.122</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1.04x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0.83</w:t>
            </w:r>
          </w:p>
        </w:tc>
        <w:tc>
          <w:tcPr>
            <w:tcW w:type="dxa" w:w="960"/>
          </w:tcPr>
          <w:p>
            <w:r>
              <w:t>1.05</w:t>
            </w:r>
          </w:p>
        </w:tc>
        <w:tc>
          <w:tcPr>
            <w:tcW w:type="dxa" w:w="960"/>
          </w:tcPr>
          <w:p>
            <w:r>
              <w:t>50.5%</w:t>
            </w:r>
          </w:p>
        </w:tc>
        <w:tc>
          <w:tcPr>
            <w:tcW w:type="dxa" w:w="960"/>
          </w:tcPr>
          <w:p>
            <w:r>
              <w:t>46</w:t>
            </w:r>
          </w:p>
        </w:tc>
        <w:tc>
          <w:tcPr>
            <w:tcW w:type="dxa" w:w="960"/>
          </w:tcPr>
          <w:p>
            <w:r>
              <w:t>0.27x</w:t>
            </w:r>
          </w:p>
        </w:tc>
        <w:tc>
          <w:tcPr>
            <w:tcW w:type="dxa" w:w="960"/>
          </w:tcPr>
          <w:p>
            <w:r>
              <w:t>0.033</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46</w:t>
            </w:r>
          </w:p>
        </w:tc>
        <w:tc>
          <w:tcPr>
            <w:tcW w:type="dxa" w:w="960"/>
          </w:tcPr>
          <w:p>
            <w:r>
              <w:t>0.26x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0.85</w:t>
            </w:r>
          </w:p>
        </w:tc>
        <w:tc>
          <w:tcPr>
            <w:tcW w:type="dxa" w:w="960"/>
          </w:tcPr>
          <w:p>
            <w:r>
              <w:t>1.11</w:t>
            </w:r>
          </w:p>
        </w:tc>
        <w:tc>
          <w:tcPr>
            <w:tcW w:type="dxa" w:w="960"/>
          </w:tcPr>
          <w:p>
            <w:r>
              <w:t>51.5%</w:t>
            </w:r>
          </w:p>
        </w:tc>
        <w:tc>
          <w:tcPr>
            <w:tcW w:type="dxa" w:w="960"/>
          </w:tcPr>
          <w:p>
            <w:r>
              <w:t>46</w:t>
            </w:r>
          </w:p>
        </w:tc>
        <w:tc>
          <w:tcPr>
            <w:tcW w:type="dxa" w:w="960"/>
          </w:tcPr>
          <w:p>
            <w:r>
              <w:t>0.28x</w:t>
            </w:r>
          </w:p>
        </w:tc>
        <w:tc>
          <w:tcPr>
            <w:tcW w:type="dxa" w:w="960"/>
          </w:tcPr>
          <w:p>
            <w:r>
              <w:t>0.034</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0.84</w:t>
            </w:r>
          </w:p>
        </w:tc>
        <w:tc>
          <w:tcPr>
            <w:tcW w:type="dxa" w:w="960"/>
          </w:tcPr>
          <w:p>
            <w:r>
              <w:t>1.11</w:t>
            </w:r>
          </w:p>
        </w:tc>
        <w:tc>
          <w:tcPr>
            <w:tcW w:type="dxa" w:w="960"/>
          </w:tcPr>
          <w:p>
            <w:r>
              <w:t>51.7%</w:t>
            </w:r>
          </w:p>
        </w:tc>
        <w:tc>
          <w:tcPr>
            <w:tcW w:type="dxa" w:w="960"/>
          </w:tcPr>
          <w:p>
            <w:r>
              <w:t>46</w:t>
            </w:r>
          </w:p>
        </w:tc>
        <w:tc>
          <w:tcPr>
            <w:tcW w:type="dxa" w:w="960"/>
          </w:tcPr>
          <w:p>
            <w:r>
              <w:t>0.28x</w:t>
            </w:r>
          </w:p>
        </w:tc>
        <w:tc>
          <w:tcPr>
            <w:tcW w:type="dxa" w:w="960"/>
          </w:tcPr>
          <w:p>
            <w:r>
              <w:t>0.034</w:t>
            </w:r>
          </w:p>
        </w:tc>
      </w:tr>
    </w:tbl>
    <w:p>
      <w:r>
        <w:drawing>
          <wp:inline xmlns:a="http://schemas.openxmlformats.org/drawingml/2006/main" xmlns:pic="http://schemas.openxmlformats.org/drawingml/2006/picture">
            <wp:extent cx="5394960" cy="2312126"/>
            <wp:docPr id="28" name="Picture 28"/>
            <wp:cNvGraphicFramePr>
              <a:graphicFrameLocks noChangeAspect="1"/>
            </wp:cNvGraphicFramePr>
            <a:graphic>
              <a:graphicData uri="http://schemas.openxmlformats.org/drawingml/2006/picture">
                <pic:pic>
                  <pic:nvPicPr>
                    <pic:cNvPr id="0" name="fig_method_family_counts_10pct.png"/>
                    <pic:cNvPicPr/>
                  </pic:nvPicPr>
                  <pic:blipFill>
                    <a:blip r:embed="rId36"/>
                    <a:stretch>
                      <a:fillRect/>
                    </a:stretch>
                  </pic:blipFill>
                  <pic:spPr>
                    <a:xfrm>
                      <a:off x="0" y="0"/>
                      <a:ext cx="5394960" cy="2312126"/>
                    </a:xfrm>
                    <a:prstGeom prst="rect"/>
                  </pic:spPr>
                </pic:pic>
              </a:graphicData>
            </a:graphic>
          </wp:inline>
        </w:drawing>
      </w:r>
    </w:p>
    <w:p>
      <w:r>
        <w:drawing>
          <wp:inline xmlns:a="http://schemas.openxmlformats.org/drawingml/2006/main" xmlns:pic="http://schemas.openxmlformats.org/drawingml/2006/picture">
            <wp:extent cx="5394960" cy="2312126"/>
            <wp:docPr id="29" name="Picture 29"/>
            <wp:cNvGraphicFramePr>
              <a:graphicFrameLocks noChangeAspect="1"/>
            </wp:cNvGraphicFramePr>
            <a:graphic>
              <a:graphicData uri="http://schemas.openxmlformats.org/drawingml/2006/picture">
                <pic:pic>
                  <pic:nvPicPr>
                    <pic:cNvPr id="0" name="fig_method_family_counts_25pct.png"/>
                    <pic:cNvPicPr/>
                  </pic:nvPicPr>
                  <pic:blipFill>
                    <a:blip r:embed="rId37"/>
                    <a:stretch>
                      <a:fillRect/>
                    </a:stretch>
                  </pic:blipFill>
                  <pic:spPr>
                    <a:xfrm>
                      <a:off x="0" y="0"/>
                      <a:ext cx="5394960" cy="2312126"/>
                    </a:xfrm>
                    <a:prstGeom prst="rect"/>
                  </pic:spPr>
                </pic:pic>
              </a:graphicData>
            </a:graphic>
          </wp:inline>
        </w:drawing>
      </w:r>
    </w:p>
    <w:p>
      <w:r>
        <w:t>Figure 6.8 - Full-method comparison of kept and isolated counts by processing family and SiNP loading for PEGDA, 1 wt% TPO, no coating. Separate median-background and flatten-base panels are shown for each wt% dataset so that submethod differences are visible without complete overlap.</w:t>
      </w:r>
    </w:p>
    <w:p>
      <w:r>
        <w:t>Source: C:\Users\Conor O'Brien\Dropbox\03_AML\00 IN-BOX\AFM Topo Particle processing OUT\run_grains_full_wt10_20260304_145519\summary_outputs\compare_by_wt\fig_method_family_counts_10pct.png</w:t>
      </w:r>
    </w:p>
    <w:p>
      <w:r>
        <w:t>Source: C:\Users\Conor O'Brien\Dropbox\03_AML\00 IN-BOX\AFM Topo Particle processing OUT\run_grains_full_wt25_20260304_145519\summary_outputs\compare_by_wt\fig_method_family_counts_25pct.png</w:t>
      </w:r>
    </w:p>
    <w:p>
      <w:r>
        <w:drawing>
          <wp:inline xmlns:a="http://schemas.openxmlformats.org/drawingml/2006/main" xmlns:pic="http://schemas.openxmlformats.org/drawingml/2006/picture">
            <wp:extent cx="4754880" cy="2641600"/>
            <wp:docPr id="30" name="Picture 30"/>
            <wp:cNvGraphicFramePr>
              <a:graphicFrameLocks noChangeAspect="1"/>
            </wp:cNvGraphicFramePr>
            <a:graphic>
              <a:graphicData uri="http://schemas.openxmlformats.org/drawingml/2006/picture">
                <pic:pic>
                  <pic:nvPicPr>
                    <pic:cNvPr id="0" name="risk_aggregate_10____Non-scraped_poisson.png"/>
                    <pic:cNvPicPr/>
                  </pic:nvPicPr>
                  <pic:blipFill>
                    <a:blip r:embed="rId38"/>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31" name="Picture 31"/>
            <wp:cNvGraphicFramePr>
              <a:graphicFrameLocks noChangeAspect="1"/>
            </wp:cNvGraphicFramePr>
            <a:graphic>
              <a:graphicData uri="http://schemas.openxmlformats.org/drawingml/2006/picture">
                <pic:pic>
                  <pic:nvPicPr>
                    <pic:cNvPr id="0" name="risk_aggregate_10____Scraped_poisson.png"/>
                    <pic:cNvPicPr/>
                  </pic:nvPicPr>
                  <pic:blipFill>
                    <a:blip r:embed="rId39"/>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32" name="Picture 32"/>
            <wp:cNvGraphicFramePr>
              <a:graphicFrameLocks noChangeAspect="1"/>
            </wp:cNvGraphicFramePr>
            <a:graphic>
              <a:graphicData uri="http://schemas.openxmlformats.org/drawingml/2006/picture">
                <pic:pic>
                  <pic:nvPicPr>
                    <pic:cNvPr id="0" name="risk_aggregate_25____Non-scraped_poisson.png"/>
                    <pic:cNvPicPr/>
                  </pic:nvPicPr>
                  <pic:blipFill>
                    <a:blip r:embed="rId40"/>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33" name="Picture 33"/>
            <wp:cNvGraphicFramePr>
              <a:graphicFrameLocks noChangeAspect="1"/>
            </wp:cNvGraphicFramePr>
            <a:graphic>
              <a:graphicData uri="http://schemas.openxmlformats.org/drawingml/2006/picture">
                <pic:pic>
                  <pic:nvPicPr>
                    <pic:cNvPr id="0" name="risk_aggregate_25____Scraped_poisson.png"/>
                    <pic:cNvPicPr/>
                  </pic:nvPicPr>
                  <pic:blipFill>
                    <a:blip r:embed="rId41"/>
                    <a:stretch>
                      <a:fillRect/>
                    </a:stretch>
                  </pic:blipFill>
                  <pic:spPr>
                    <a:xfrm>
                      <a:off x="0" y="0"/>
                      <a:ext cx="4754880" cy="2641600"/>
                    </a:xfrm>
                    <a:prstGeom prst="rect"/>
                  </pic:spPr>
                </pic:pic>
              </a:graphicData>
            </a:graphic>
          </wp:inline>
        </w:drawing>
      </w:r>
    </w:p>
    <w:p>
      <w:r>
        <w:t>Figure 6.9 - Aggregate Poisson success-probability curves for all methods, separated by SiNP loading and scrape state. Horizontal dashed lines mark the 90%, 95%, and 99% success thresholds; vertical markers show the 95%-requirement scan count for each method.</w:t>
      </w:r>
    </w:p>
    <w:p>
      <w:r>
        <w:t>Source: C:\Users\Conor O'Brien\Dropbox\03_AML\00 IN-BOX\AFM Topo Particle processing OUT\run_grains_full_wt10_20260304_145519\summary_outputs\fits\risk_aggregate_10____Non-scraped_poisson.png</w:t>
      </w:r>
    </w:p>
    <w:p>
      <w:r>
        <w:t>Source: C:\Users\Conor O'Brien\Dropbox\03_AML\00 IN-BOX\AFM Topo Particle processing OUT\run_grains_full_wt10_20260304_145519\summary_outputs\fits\risk_aggregate_10____Scraped_poisson.png</w:t>
      </w:r>
    </w:p>
    <w:p>
      <w:r>
        <w:t>Source: C:\Users\Conor O'Brien\Dropbox\03_AML\00 IN-BOX\AFM Topo Particle processing OUT\run_grains_full_wt25_20260304_145519\summary_outputs\fits\risk_aggregate_25____Non-scraped_poisson.png</w:t>
      </w:r>
    </w:p>
    <w:p>
      <w:r>
        <w:t>Source: C:\Users\Conor O'Brien\Dropbox\03_AML\00 IN-BOX\AFM Topo Particle processing OUT\run_grains_full_wt25_20260304_145519\summary_outputs\fits\risk_aggregate_25____Scraped_poisson.png</w:t>
      </w:r>
    </w:p>
    <w:p>
      <w:pPr>
        <w:pStyle w:val="Heading1"/>
      </w:pPr>
      <w:r>
        <w:t>6.6 Stage 2 Trigger / Crossover Decision</w:t>
      </w:r>
    </w:p>
    <w:p>
      <w:r>
        <w:t>The Stage 2 trigger is framed as a sensitivity study in the confirmation probability p. The practical question is how far the confirmation rate could fall before the current Stage 1 scan inventory would no longer meet the 30-particle, 95%-confidence target.</w:t>
      </w:r>
    </w:p>
    <w:p>
      <w:r>
        <w:t>In Figure 6.10, the x-axis is the assumed fraction of Stage 1 isolated candidates that would later be confirmed as true particles in Stage 2, and the y-axis is the scan count required to still meet the Stage 2 target. The horizontal reference line is the currently available scan inventory. The crossover value p* is therefore the minimum confirmation fraction required for the existing inventory to remain sufficient; it is not the probability of a crossover event.</w:t>
      </w:r>
    </w:p>
    <w:p>
      <w:r>
        <w:rPr>
          <w:b/>
        </w:rPr>
        <w:t>Table 6.9 -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3.203</w:t>
            </w:r>
          </w:p>
        </w:tc>
        <w:tc>
          <w:tcPr>
            <w:tcW w:type="dxa" w:w="2160"/>
          </w:tcPr>
          <w:p>
            <w:r>
              <w:t>386</w:t>
            </w:r>
          </w:p>
        </w:tc>
        <w:tc>
          <w:tcPr>
            <w:tcW w:type="dxa" w:w="2160"/>
          </w:tcPr>
          <w:p>
            <w:r>
              <w:t>0.032</w:t>
            </w:r>
          </w:p>
        </w:tc>
      </w:tr>
      <w:tr>
        <w:tc>
          <w:tcPr>
            <w:tcW w:type="dxa" w:w="2160"/>
          </w:tcPr>
          <w:p>
            <w:r>
              <w:t>25 wt% SiNP</w:t>
            </w:r>
          </w:p>
        </w:tc>
        <w:tc>
          <w:tcPr>
            <w:tcW w:type="dxa" w:w="2160"/>
          </w:tcPr>
          <w:p>
            <w:r>
              <w:t>3.181</w:t>
            </w:r>
          </w:p>
        </w:tc>
        <w:tc>
          <w:tcPr>
            <w:tcW w:type="dxa" w:w="2160"/>
          </w:tcPr>
          <w:p>
            <w:r>
              <w:t>404</w:t>
            </w:r>
          </w:p>
        </w:tc>
        <w:tc>
          <w:tcPr>
            <w:tcW w:type="dxa" w:w="2160"/>
          </w:tcPr>
          <w:p>
            <w:r>
              <w:t>0.031</w:t>
            </w:r>
          </w:p>
        </w:tc>
      </w:tr>
    </w:tbl>
    <w:p>
      <w:r>
        <w:drawing>
          <wp:inline xmlns:a="http://schemas.openxmlformats.org/drawingml/2006/main" xmlns:pic="http://schemas.openxmlformats.org/drawingml/2006/picture">
            <wp:extent cx="6035040" cy="2518973"/>
            <wp:docPr id="34" name="Picture 34"/>
            <wp:cNvGraphicFramePr>
              <a:graphicFrameLocks noChangeAspect="1"/>
            </wp:cNvGraphicFramePr>
            <a:graphic>
              <a:graphicData uri="http://schemas.openxmlformats.org/drawingml/2006/picture">
                <pic:pic>
                  <pic:nvPicPr>
                    <pic:cNvPr id="0" name="chapter6_crossover_by_method.png"/>
                    <pic:cNvPicPr/>
                  </pic:nvPicPr>
                  <pic:blipFill>
                    <a:blip r:embed="rId42"/>
                    <a:stretch>
                      <a:fillRect/>
                    </a:stretch>
                  </pic:blipFill>
                  <pic:spPr>
                    <a:xfrm>
                      <a:off x="0" y="0"/>
                      <a:ext cx="6035040" cy="2518973"/>
                    </a:xfrm>
                    <a:prstGeom prst="rect"/>
                  </pic:spPr>
                </pic:pic>
              </a:graphicData>
            </a:graphic>
          </wp:inline>
        </w:drawing>
      </w:r>
    </w:p>
    <w:p>
      <w:r>
        <w:t>Figure 6.10a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r>
        <w:drawing>
          <wp:inline xmlns:a="http://schemas.openxmlformats.org/drawingml/2006/main" xmlns:pic="http://schemas.openxmlformats.org/drawingml/2006/picture">
            <wp:extent cx="4754880" cy="4754880"/>
            <wp:docPr id="35" name="Picture 35"/>
            <wp:cNvGraphicFramePr>
              <a:graphicFrameLocks noChangeAspect="1"/>
            </wp:cNvGraphicFramePr>
            <a:graphic>
              <a:graphicData uri="http://schemas.openxmlformats.org/drawingml/2006/picture">
                <pic:pic>
                  <pic:nvPicPr>
                    <pic:cNvPr id="0" name="stage2_topography_channel.png"/>
                    <pic:cNvPicPr/>
                  </pic:nvPicPr>
                  <pic:blipFill>
                    <a:blip r:embed="rId43"/>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6" name="Picture 36"/>
            <wp:cNvGraphicFramePr>
              <a:graphicFrameLocks noChangeAspect="1"/>
            </wp:cNvGraphicFramePr>
            <a:graphic>
              <a:graphicData uri="http://schemas.openxmlformats.org/drawingml/2006/picture">
                <pic:pic>
                  <pic:nvPicPr>
                    <pic:cNvPr id="0" name="stage2_modulus_channel.png"/>
                    <pic:cNvPicPr/>
                  </pic:nvPicPr>
                  <pic:blipFill>
                    <a:blip r:embed="rId44"/>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7" name="Picture 37"/>
            <wp:cNvGraphicFramePr>
              <a:graphicFrameLocks noChangeAspect="1"/>
            </wp:cNvGraphicFramePr>
            <a:graphic>
              <a:graphicData uri="http://schemas.openxmlformats.org/drawingml/2006/picture">
                <pic:pic>
                  <pic:nvPicPr>
                    <pic:cNvPr id="0" name="stage2_adhesion_channel.png"/>
                    <pic:cNvPicPr/>
                  </pic:nvPicPr>
                  <pic:blipFill>
                    <a:blip r:embed="rId45"/>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8" name="Picture 38"/>
            <wp:cNvGraphicFramePr>
              <a:graphicFrameLocks noChangeAspect="1"/>
            </wp:cNvGraphicFramePr>
            <a:graphic>
              <a:graphicData uri="http://schemas.openxmlformats.org/drawingml/2006/picture">
                <pic:pic>
                  <pic:nvPicPr>
                    <pic:cNvPr id="0" name="stage2_deformation_channel.png"/>
                    <pic:cNvPicPr/>
                  </pic:nvPicPr>
                  <pic:blipFill>
                    <a:blip r:embed="rId46"/>
                    <a:stretch>
                      <a:fillRect/>
                    </a:stretch>
                  </pic:blipFill>
                  <pic:spPr>
                    <a:xfrm>
                      <a:off x="0" y="0"/>
                      <a:ext cx="4754880" cy="4754880"/>
                    </a:xfrm>
                    <a:prstGeom prst="rect"/>
                  </pic:spPr>
                </pic:pic>
              </a:graphicData>
            </a:graphic>
          </wp:inline>
        </w:drawing>
      </w:r>
    </w:p>
    <w:p>
      <w:r>
        <w:t>Figure 6.10b - Representative Stage 2 context images from the 0 wt% SiNP contact-mode dataset. These images provide visual context for the multi-channel interrogation workflow that would be applied once Stage 1 isolated targets are selected.</w:t>
      </w:r>
    </w:p>
    <w:p>
      <w:r>
        <w:t>Source: C:\Users\Conor O'Brien\Dropbox\03_AML\00 IN-BOX\AFM Topo Particle processing OUT\Particle Images for Thesis Figures\processed\stage2_topography_channel.png</w:t>
      </w:r>
    </w:p>
    <w:p>
      <w:r>
        <w:t>Source: C:\Users\Conor O'Brien\Dropbox\03_AML\00 IN-BOX\AFM Topo Particle processing OUT\Particle Images for Thesis Figures\processed\stage2_modulus_channel.png</w:t>
      </w:r>
    </w:p>
    <w:p>
      <w:r>
        <w:t>Source: C:\Users\Conor O'Brien\Dropbox\03_AML\00 IN-BOX\AFM Topo Particle processing OUT\Particle Images for Thesis Figures\processed\stage2_adhesion_channel.png</w:t>
      </w:r>
    </w:p>
    <w:p>
      <w:r>
        <w:t>Source: C:\Users\Conor O'Brien\Dropbox\03_AML\00 IN-BOX\AFM Topo Particle processing OUT\Particle Images for Thesis Figures\processed\stage2_deformation_channel.png</w:t>
      </w:r>
    </w:p>
    <w:p>
      <w:pPr>
        <w:pStyle w:val="Heading1"/>
      </w:pPr>
      <w:r>
        <w:t>6.7 Stage 1 Decision</w:t>
      </w:r>
    </w:p>
    <w:p>
      <w:r>
        <w:t>For 10 wt% SiNP, candidate particle presence was confirmed, the retained diameter distribution remained consistent with the configured 350-550 nm size window, isolated particles occurred in 92.0%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93.6%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Within the current Stage 1 scope, two conclusions are supported directly by the data. First, isolated candidates are available in sufficient number under the primary route. Second, increasing SiNP loading from 10 wt% to 25 wt% does not automatically yield a proportionally larger population of isolated targets. The remaining uncertainty concerns how many of those isolated candidates would later be confirmed as true particles during Stage 2 multi-channel interrogation.</w:t>
      </w:r>
    </w:p>
    <w:p>
      <w:r>
        <w:t>The crossover analysis is therefore useful because it translates that remaining uncertainty into an explicit scan-budget threshold rather than leaving Stage 2 as an undefined next step. In this sense, Stage 2 remains a neutral unknown to be tested rather than an assumed confirmation of every Stage 1 candidate.</w:t>
      </w:r>
    </w:p>
    <w:p>
      <w:r>
        <w:t>A second limitation concerns model justification. The present inventories are comfortably above the scan counts required for the immediate Stage 1 feasibility claim, even though the two loadings do not contain equal numbers of scans. That supports the practical sufficiency argument used here, but it does not by itself establish that Poisson is the only admissible count model for later extensions of the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