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19:39</w:t>
      </w:r>
    </w:p>
    <w:p>
      <w:r>
        <w:t>Scope: measurement feasibility, scan efficiency, and decision thresholds only.</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forward/backward agreement by method, while the absolute-modulus bars show method-level forward and backward modulus summaries with standard-error bars.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394960" cy="3443034"/>
            <wp:docPr id="4" name="Picture 4"/>
            <wp:cNvGraphicFramePr>
              <a:graphicFrameLocks noChangeAspect="1"/>
            </wp:cNvGraphicFramePr>
            <a:graphic>
              <a:graphicData uri="http://schemas.openxmlformats.org/drawingml/2006/picture">
                <pic:pic>
                  <pic:nvPicPr>
                    <pic:cNvPr id="0" name="chapter6_stage1_overview.png"/>
                    <pic:cNvPicPr/>
                  </pic:nvPicPr>
                  <pic:blipFill>
                    <a:blip r:embed="rId12"/>
                    <a:stretch>
                      <a:fillRect/>
                    </a:stretch>
                  </pic:blipFill>
                  <pic:spPr>
                    <a:xfrm>
                      <a:off x="0" y="0"/>
                      <a:ext cx="5394960" cy="3443034"/>
                    </a:xfrm>
                    <a:prstGeom prst="rect"/>
                  </pic:spPr>
                </pic:pic>
              </a:graphicData>
            </a:graphic>
          </wp:inline>
        </w:drawing>
      </w:r>
    </w:p>
    <w:p>
      <w:r>
        <w:t>Figure 6.1b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fig_particle_count_hist.png"/>
                    <pic:cNvPicPr/>
                  </pic:nvPicPr>
                  <pic:blipFill>
                    <a:blip r:embed="rId13"/>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fig_particle_count_hist.png"/>
                    <pic:cNvPicPr/>
                  </pic:nvPicPr>
                  <pic:blipFill>
                    <a:blip r:embed="rId14"/>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7" name="Picture 7"/>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5"/>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8" name="Picture 8"/>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6"/>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9" name="Picture 9"/>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0" name="Picture 10"/>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1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1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4" name="Picture 14"/>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2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5" name="Picture 15"/>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6" name="Picture 16"/>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4"/>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particle_diameter_hist.png"/>
                    <pic:cNvPicPr/>
                  </pic:nvPicPr>
                  <pic:blipFill>
                    <a:blip r:embed="rId25"/>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particle_diameter_hist.png"/>
                    <pic:cNvPicPr/>
                  </pic:nvPicPr>
                  <pic:blipFill>
                    <a:blip r:embed="rId26"/>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9" name="Picture 19"/>
            <wp:cNvGraphicFramePr>
              <a:graphicFrameLocks noChangeAspect="1"/>
            </wp:cNvGraphicFramePr>
            <a:graphic>
              <a:graphicData uri="http://schemas.openxmlformats.org/drawingml/2006/picture">
                <pic:pic>
                  <pic:nvPicPr>
                    <pic:cNvPr id="0" name="fig_isolated_count_hist.png"/>
                    <pic:cNvPicPr/>
                  </pic:nvPicPr>
                  <pic:blipFill>
                    <a:blip r:embed="rId27"/>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20" name="Picture 20"/>
            <wp:cNvGraphicFramePr>
              <a:graphicFrameLocks noChangeAspect="1"/>
            </wp:cNvGraphicFramePr>
            <a:graphic>
              <a:graphicData uri="http://schemas.openxmlformats.org/drawingml/2006/picture">
                <pic:pic>
                  <pic:nvPicPr>
                    <pic:cNvPr id="0" name="fig_isolated_count_hist.png"/>
                    <pic:cNvPicPr/>
                  </pic:nvPicPr>
                  <pic:blipFill>
                    <a:blip r:embed="rId28"/>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1" name="Picture 21"/>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9"/>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2" name="Picture 22"/>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30"/>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3" name="Picture 23"/>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4" name="Picture 24"/>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3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5" name="Picture 25"/>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8" name="Picture 28"/>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9" name="Picture 29"/>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4"/>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3.104</w:t>
            </w:r>
          </w:p>
        </w:tc>
        <w:tc>
          <w:tcPr>
            <w:tcW w:type="dxa" w:w="1728"/>
          </w:tcPr>
          <w:p>
            <w:r>
              <w:t>8.0%</w:t>
            </w:r>
          </w:p>
        </w:tc>
        <w:tc>
          <w:tcPr>
            <w:tcW w:type="dxa" w:w="1728"/>
          </w:tcPr>
          <w:p>
            <w:r>
              <w:t>13</w:t>
            </w:r>
          </w:p>
        </w:tc>
        <w:tc>
          <w:tcPr>
            <w:tcW w:type="dxa" w:w="1728"/>
          </w:tcPr>
          <w:p>
            <w:r>
              <w:t>386</w:t>
            </w:r>
          </w:p>
        </w:tc>
      </w:tr>
      <w:tr>
        <w:tc>
          <w:tcPr>
            <w:tcW w:type="dxa" w:w="1728"/>
          </w:tcPr>
          <w:p>
            <w:r>
              <w:t>25 wt% SiNP</w:t>
            </w:r>
          </w:p>
        </w:tc>
        <w:tc>
          <w:tcPr>
            <w:tcW w:type="dxa" w:w="1728"/>
          </w:tcPr>
          <w:p>
            <w:r>
              <w:t>3.045</w:t>
            </w:r>
          </w:p>
        </w:tc>
        <w:tc>
          <w:tcPr>
            <w:tcW w:type="dxa" w:w="1728"/>
          </w:tcPr>
          <w:p>
            <w:r>
              <w:t>6.4%</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41 scans and from 13 to 48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41</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42</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42</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48</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47</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47</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31" name="Picture 31"/>
            <wp:cNvGraphicFramePr>
              <a:graphicFrameLocks noChangeAspect="1"/>
            </wp:cNvGraphicFramePr>
            <a:graphic>
              <a:graphicData uri="http://schemas.openxmlformats.org/drawingml/2006/picture">
                <pic:pic>
                  <pic:nvPicPr>
                    <pic:cNvPr id="0" name="fig_isolated_count_mean_by_job_10pct.png"/>
                    <pic:cNvPicPr/>
                  </pic:nvPicPr>
                  <pic:blipFill>
                    <a:blip r:embed="rId37"/>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32" name="Picture 32"/>
            <wp:cNvGraphicFramePr>
              <a:graphicFrameLocks noChangeAspect="1"/>
            </wp:cNvGraphicFramePr>
            <a:graphic>
              <a:graphicData uri="http://schemas.openxmlformats.org/drawingml/2006/picture">
                <pic:pic>
                  <pic:nvPicPr>
                    <pic:cNvPr id="0" name="fig_isolated_count_mean_by_job_25pct.png"/>
                    <pic:cNvPicPr/>
                  </pic:nvPicPr>
                  <pic:blipFill>
                    <a:blip r:embed="rId38"/>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3" name="Picture 33"/>
            <wp:cNvGraphicFramePr>
              <a:graphicFrameLocks noChangeAspect="1"/>
            </wp:cNvGraphicFramePr>
            <a:graphic>
              <a:graphicData uri="http://schemas.openxmlformats.org/drawingml/2006/picture">
                <pic:pic>
                  <pic:nvPicPr>
                    <pic:cNvPr id="0" name="risk_aggregate_wt_percent_10_poisson.png"/>
                    <pic:cNvPicPr/>
                  </pic:nvPicPr>
                  <pic:blipFill>
                    <a:blip r:embed="rId39"/>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4" name="Picture 34"/>
            <wp:cNvGraphicFramePr>
              <a:graphicFrameLocks noChangeAspect="1"/>
            </wp:cNvGraphicFramePr>
            <a:graphic>
              <a:graphicData uri="http://schemas.openxmlformats.org/drawingml/2006/picture">
                <pic:pic>
                  <pic:nvPicPr>
                    <pic:cNvPr id="0" name="risk_aggregate_wt_percent_25_poisson.png"/>
                    <pic:cNvPicPr/>
                  </pic:nvPicPr>
                  <pic:blipFill>
                    <a:blip r:embed="rId40"/>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3.104</w:t>
            </w:r>
          </w:p>
        </w:tc>
        <w:tc>
          <w:tcPr>
            <w:tcW w:type="dxa" w:w="2160"/>
          </w:tcPr>
          <w:p>
            <w:r>
              <w:t>386</w:t>
            </w:r>
          </w:p>
        </w:tc>
        <w:tc>
          <w:tcPr>
            <w:tcW w:type="dxa" w:w="2160"/>
          </w:tcPr>
          <w:p>
            <w:r>
              <w:t>0.033</w:t>
            </w:r>
          </w:p>
        </w:tc>
      </w:tr>
      <w:tr>
        <w:tc>
          <w:tcPr>
            <w:tcW w:type="dxa" w:w="2160"/>
          </w:tcPr>
          <w:p>
            <w:r>
              <w:t>25 wt% SiNP</w:t>
            </w:r>
          </w:p>
        </w:tc>
        <w:tc>
          <w:tcPr>
            <w:tcW w:type="dxa" w:w="2160"/>
          </w:tcPr>
          <w:p>
            <w:r>
              <w:t>3.045</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35" name="Picture 35"/>
            <wp:cNvGraphicFramePr>
              <a:graphicFrameLocks noChangeAspect="1"/>
            </wp:cNvGraphicFramePr>
            <a:graphic>
              <a:graphicData uri="http://schemas.openxmlformats.org/drawingml/2006/picture">
                <pic:pic>
                  <pic:nvPicPr>
                    <pic:cNvPr id="0" name="chapter6_crossover_by_method.png"/>
                    <pic:cNvPicPr/>
                  </pic:nvPicPr>
                  <pic:blipFill>
                    <a:blip r:embed="rId41"/>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