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21:11</w:t>
      </w:r>
    </w:p>
    <w:p>
      <w:r>
        <w:t>Scope: measurement feasibility, scan efficiency, and decision thresholds only.</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forward/backward agreement by method, while the absolute-modulus bars show method-level forward and backward modulus summaries with standard-error bars.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heatmap_two_panel__delta_vs_baseline__raw_chauvenet.png"/>
                    <pic:cNvPicPr/>
                  </pic:nvPicPr>
                  <pic:blipFill>
                    <a:blip r:embed="rId14"/>
                    <a:stretch>
                      <a:fillRect/>
                    </a:stretch>
                  </pic:blipFill>
                  <pic:spPr>
                    <a:xfrm>
                      <a:off x="0" y="0"/>
                      <a:ext cx="5029200" cy="2263140"/>
                    </a:xfrm>
                    <a:prstGeom prst="rect"/>
                  </pic:spPr>
                </pic:pic>
              </a:graphicData>
            </a:graphic>
          </wp:inline>
        </w:drawing>
      </w:r>
    </w:p>
    <w:p>
      <w:r>
        <w:t>Figure 6.1b - Forward and backward baseline PEGDA modulus heatmaps plus one representative delta-versus-baseline comparison heatmap. These plots show the spatial baseline field for each scan direction and one example of how a comparison route shifts the baseline modulus pattern.</w:t>
      </w:r>
    </w:p>
    <w:p>
      <w:r>
        <w:t>Source: out\method_compare\compare_20260306_180402\plots\heatmap_two_panel__baseline.png</w:t>
      </w:r>
    </w:p>
    <w:p>
      <w:r>
        <w:t>Source: out\method_compare\compare_20260306_180452\plots\heatmap_two_panel__baseline.png</w:t>
      </w:r>
    </w:p>
    <w:p>
      <w:r>
        <w:t>Source: out\method_compare\compare_20260306_180402\plots\heatmap_two_panel__delta_vs_baseline__raw_chauvenet.png</w:t>
      </w:r>
    </w:p>
    <w:p>
      <w:r>
        <w:drawing>
          <wp:inline xmlns:a="http://schemas.openxmlformats.org/drawingml/2006/main" xmlns:pic="http://schemas.openxmlformats.org/drawingml/2006/picture">
            <wp:extent cx="5394960" cy="3443034"/>
            <wp:docPr id="7" name="Picture 7"/>
            <wp:cNvGraphicFramePr>
              <a:graphicFrameLocks noChangeAspect="1"/>
            </wp:cNvGraphicFramePr>
            <a:graphic>
              <a:graphicData uri="http://schemas.openxmlformats.org/drawingml/2006/picture">
                <pic:pic>
                  <pic:nvPicPr>
                    <pic:cNvPr id="0" name="chapter6_stage1_overview.png"/>
                    <pic:cNvPicPr/>
                  </pic:nvPicPr>
                  <pic:blipFill>
                    <a:blip r:embed="rId15"/>
                    <a:stretch>
                      <a:fillRect/>
                    </a:stretch>
                  </pic:blipFill>
                  <pic:spPr>
                    <a:xfrm>
                      <a:off x="0" y="0"/>
                      <a:ext cx="5394960" cy="3443034"/>
                    </a:xfrm>
                    <a:prstGeom prst="rect"/>
                  </pic:spPr>
                </pic:pic>
              </a:graphicData>
            </a:graphic>
          </wp:inline>
        </w:drawing>
      </w:r>
    </w:p>
    <w:p>
      <w:r>
        <w:t>Figure 6.1c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rare in both sets (3.1% and 2.0%).</w:t>
      </w:r>
    </w:p>
    <w:p>
      <w:r>
        <w:t>The 25 wt% SiNP set showed a modest increase in candidate density relative to 10 wt% SiNP (0.94x), but this stage still describes candidate features, not fully validated true particles.</w:t>
      </w:r>
    </w:p>
    <w:p>
      <w:r>
        <w:t>Figures 6.2A and 6.2B show histograms of retained candidate-particle count per scan. In these plots, frequency is the number of scans falling at each retained-count value. For both loadings, the highest frequencies occur at low retained counts, indicating that most scans contain only a small number of retained candidate particles rather than large multi-particle populations.</w:t>
      </w:r>
    </w:p>
    <w:p>
      <w:r>
        <w:t>Figures 6.3A and 6.3B are mean count maps across the grouped sample sets for each loading. They show that retained candidate particles are distributed across the surveyed grid rather than concentrated at a single localized region. These maps summarize mean count only; they do not show per-position standard deviation, which should be treated as a separate variability layer if spatial uncertainty is discussed in detail.</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particle_count_hist.png"/>
                    <pic:cNvPicPr/>
                  </pic:nvPicPr>
                  <pic:blipFill>
                    <a:blip r:embed="rId1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10" name="Picture 10"/>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1" name="Picture 11"/>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9"/>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4572000" cy="3810000"/>
            <wp:docPr id="12" name="Picture 12"/>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3" name="Picture 13"/>
            <wp:cNvGraphicFramePr>
              <a:graphicFrameLocks noChangeAspect="1"/>
            </wp:cNvGraphicFramePr>
            <a:graphic>
              <a:graphicData uri="http://schemas.openxmlformats.org/drawingml/2006/picture">
                <pic:pic>
                  <pic:nvPicPr>
                    <pic:cNvPr id="0" name="fig_particle_count_grid_se_wt10_particle_forward_medianbg_mean.png"/>
                    <pic:cNvPicPr/>
                  </pic:nvPicPr>
                  <pic:blipFill>
                    <a:blip r:embed="rId21"/>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4" name="Picture 14"/>
            <wp:cNvGraphicFramePr>
              <a:graphicFrameLocks noChangeAspect="1"/>
            </wp:cNvGraphicFramePr>
            <a:graphic>
              <a:graphicData uri="http://schemas.openxmlformats.org/drawingml/2006/picture">
                <pic:pic>
                  <pic:nvPicPr>
                    <pic:cNvPr id="0" name="fig_particle_count_grid_cv_wt10_particle_forward_medianbg_mean.png"/>
                    <pic:cNvPicPr/>
                  </pic:nvPicPr>
                  <pic:blipFill>
                    <a:blip r:embed="rId22"/>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5" name="Picture 15"/>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6" name="Picture 16"/>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7" name="Picture 17"/>
            <wp:cNvGraphicFramePr>
              <a:graphicFrameLocks noChangeAspect="1"/>
            </wp:cNvGraphicFramePr>
            <a:graphic>
              <a:graphicData uri="http://schemas.openxmlformats.org/drawingml/2006/picture">
                <pic:pic>
                  <pic:nvPicPr>
                    <pic:cNvPr id="0" name="fig_particle_count_grid_se_wt25_particle_forward_medianbg_mean.png"/>
                    <pic:cNvPicPr/>
                  </pic:nvPicPr>
                  <pic:blipFill>
                    <a:blip r:embed="rId2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8" name="Picture 18"/>
            <wp:cNvGraphicFramePr>
              <a:graphicFrameLocks noChangeAspect="1"/>
            </wp:cNvGraphicFramePr>
            <a:graphic>
              <a:graphicData uri="http://schemas.openxmlformats.org/drawingml/2006/picture">
                <pic:pic>
                  <pic:nvPicPr>
                    <pic:cNvPr id="0" name="fig_particle_count_grid_cv_wt25_particle_forward_medianbg_mean.png"/>
                    <pic:cNvPicPr/>
                  </pic:nvPicPr>
                  <pic:blipFill>
                    <a:blip r:embed="rId2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9" name="Picture 19"/>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7"/>
                    <a:stretch>
                      <a:fillRect/>
                    </a:stretch>
                  </pic:blipFill>
                  <pic:spPr>
                    <a:xfrm>
                      <a:off x="0" y="0"/>
                      <a:ext cx="4572000" cy="3810000"/>
                    </a:xfrm>
                    <a:prstGeom prst="rect"/>
                  </pic:spPr>
                </pic:pic>
              </a:graphicData>
            </a:graphic>
          </wp:inline>
        </w:drawing>
      </w:r>
    </w:p>
    <w:p>
      <w:r>
        <w:t>Figure 6.3b - Empirical uncertainty companions for the mean kept-particle heatmaps under the primary route. Standard-deviation maps show between-sample spread, standard-error maps show uncertainty in the estimated mean, coefficient-of-variation maps normalize variability by the local mean, and n-maps show the number of contributing sample sets at each scan position.</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OUT\run_grains_full_wt10_20260304_145519\summary_outputs\combined\fig_particle_count_grid_se_wt10_particle_forward_medianbg_mean.png</w:t>
      </w:r>
    </w:p>
    <w:p>
      <w:r>
        <w:t>Source: C:\Users\Conor O'Brien\Dropbox\03_AML\00 IN-BOX\AFM Topo Particle processing OUT\run_grains_full_wt10_20260304_145519\summary_outputs\combined\fig_particle_count_grid_cv_wt10_particle_forward_medianbg_mean.png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OUT\run_grains_full_wt25_20260304_145519\summary_outputs\combined\fig_particle_count_grid_std_wt25_particle_forward_medianbg_mean.png</w:t>
      </w:r>
    </w:p>
    <w:p>
      <w:r>
        <w:t>Source: C:\Users\Conor O'Brien\Dropbox\03_AML\00 IN-BOX\AFM Topo Particle processing OUT\run_grains_full_wt25_20260304_145519\summary_outputs\combined\fig_particle_count_grid_se_wt25_particle_forward_medianbg_mean.png</w:t>
      </w:r>
    </w:p>
    <w:p>
      <w:r>
        <w:t>Source: C:\Users\Conor O'Brien\Dropbox\03_AML\00 IN-BOX\AFM Topo Particle processing OUT\run_grains_full_wt25_20260304_145519\summary_outputs\combined\fig_particle_count_grid_cv_wt25_particle_forward_medianbg_mean.png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20" name="Picture 20"/>
            <wp:cNvGraphicFramePr>
              <a:graphicFrameLocks noChangeAspect="1"/>
            </wp:cNvGraphicFramePr>
            <a:graphic>
              <a:graphicData uri="http://schemas.openxmlformats.org/drawingml/2006/picture">
                <pic:pic>
                  <pic:nvPicPr>
                    <pic:cNvPr id="0" name="fig_particle_diameter_hist.png"/>
                    <pic:cNvPicPr/>
                  </pic:nvPicPr>
                  <pic:blipFill>
                    <a:blip r:embed="rId28"/>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1" name="Picture 21"/>
            <wp:cNvGraphicFramePr>
              <a:graphicFrameLocks noChangeAspect="1"/>
            </wp:cNvGraphicFramePr>
            <a:graphic>
              <a:graphicData uri="http://schemas.openxmlformats.org/drawingml/2006/picture">
                <pic:pic>
                  <pic:nvPicPr>
                    <pic:cNvPr id="0" name="fig_particle_diameter_hist.png"/>
                    <pic:cNvPicPr/>
                  </pic:nvPicPr>
                  <pic:blipFill>
                    <a:blip r:embed="rId29"/>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key result is that the higher-loading dataset did not produce a proportionally larger isolated-particle yield. Mean isolated counts remained close (3.10 versus 3.04 isolated particles per scan) even though candidate density increased.</w:t>
      </w:r>
    </w:p>
    <w:p>
      <w:r>
        <w:t>As in the retained-count maps, the isolated-count heatmaps summarize mean isolated-particle count at each scan position across the grouped sample sets. They are therefore useful for showing spatial distribution, but not for showing the full between-sample spread at each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22" name="Picture 22"/>
            <wp:cNvGraphicFramePr>
              <a:graphicFrameLocks noChangeAspect="1"/>
            </wp:cNvGraphicFramePr>
            <a:graphic>
              <a:graphicData uri="http://schemas.openxmlformats.org/drawingml/2006/picture">
                <pic:pic>
                  <pic:nvPicPr>
                    <pic:cNvPr id="0" name="fig_isolated_count_hist.png"/>
                    <pic:cNvPicPr/>
                  </pic:nvPicPr>
                  <pic:blipFill>
                    <a:blip r:embed="rId30"/>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3" name="Picture 23"/>
            <wp:cNvGraphicFramePr>
              <a:graphicFrameLocks noChangeAspect="1"/>
            </wp:cNvGraphicFramePr>
            <a:graphic>
              <a:graphicData uri="http://schemas.openxmlformats.org/drawingml/2006/picture">
                <pic:pic>
                  <pic:nvPicPr>
                    <pic:cNvPr id="0" name="fig_isolated_count_hist.png"/>
                    <pic:cNvPicPr/>
                  </pic:nvPicPr>
                  <pic:blipFill>
                    <a:blip r:embed="rId31"/>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24" name="Picture 24"/>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32"/>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5" name="Picture 25"/>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33"/>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4572000" cy="3810000"/>
            <wp:docPr id="26" name="Picture 26"/>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3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7" name="Picture 27"/>
            <wp:cNvGraphicFramePr>
              <a:graphicFrameLocks noChangeAspect="1"/>
            </wp:cNvGraphicFramePr>
            <a:graphic>
              <a:graphicData uri="http://schemas.openxmlformats.org/drawingml/2006/picture">
                <pic:pic>
                  <pic:nvPicPr>
                    <pic:cNvPr id="0" name="fig_isolated_count_grid_se_wt10_particle_forward_medianbg_mean.png"/>
                    <pic:cNvPicPr/>
                  </pic:nvPicPr>
                  <pic:blipFill>
                    <a:blip r:embed="rId3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8" name="Picture 28"/>
            <wp:cNvGraphicFramePr>
              <a:graphicFrameLocks noChangeAspect="1"/>
            </wp:cNvGraphicFramePr>
            <a:graphic>
              <a:graphicData uri="http://schemas.openxmlformats.org/drawingml/2006/picture">
                <pic:pic>
                  <pic:nvPicPr>
                    <pic:cNvPr id="0" name="fig_isolated_count_grid_cv_wt10_particle_forward_medianbg_mean.png"/>
                    <pic:cNvPicPr/>
                  </pic:nvPicPr>
                  <pic:blipFill>
                    <a:blip r:embed="rId3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9" name="Picture 29"/>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0" name="Picture 30"/>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1" name="Picture 31"/>
            <wp:cNvGraphicFramePr>
              <a:graphicFrameLocks noChangeAspect="1"/>
            </wp:cNvGraphicFramePr>
            <a:graphic>
              <a:graphicData uri="http://schemas.openxmlformats.org/drawingml/2006/picture">
                <pic:pic>
                  <pic:nvPicPr>
                    <pic:cNvPr id="0" name="fig_isolated_count_grid_se_wt25_particle_forward_medianbg_mean.png"/>
                    <pic:cNvPicPr/>
                  </pic:nvPicPr>
                  <pic:blipFill>
                    <a:blip r:embed="rId3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2" name="Picture 32"/>
            <wp:cNvGraphicFramePr>
              <a:graphicFrameLocks noChangeAspect="1"/>
            </wp:cNvGraphicFramePr>
            <a:graphic>
              <a:graphicData uri="http://schemas.openxmlformats.org/drawingml/2006/picture">
                <pic:pic>
                  <pic:nvPicPr>
                    <pic:cNvPr id="0" name="fig_isolated_count_grid_cv_wt25_particle_forward_medianbg_mean.png"/>
                    <pic:cNvPicPr/>
                  </pic:nvPicPr>
                  <pic:blipFill>
                    <a:blip r:embed="rId3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3" name="Picture 33"/>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7"/>
                    <a:stretch>
                      <a:fillRect/>
                    </a:stretch>
                  </pic:blipFill>
                  <pic:spPr>
                    <a:xfrm>
                      <a:off x="0" y="0"/>
                      <a:ext cx="4572000" cy="3810000"/>
                    </a:xfrm>
                    <a:prstGeom prst="rect"/>
                  </pic:spPr>
                </pic:pic>
              </a:graphicData>
            </a:graphic>
          </wp:inline>
        </w:drawing>
      </w:r>
    </w:p>
    <w:p>
      <w:r>
        <w:t>Figure 6.6b - Empirical uncertainty companions for the mean isolated-particle heatmaps under the primary route. These maps separate between-sample spread (std), uncertainty in the mean estimate (SE), normalized variability (CV), and spatial coverage (n contributing sample 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OUT\run_grains_full_wt10_20260304_145519\summary_outputs\combined\fig_isolated_count_grid_se_wt10_particle_forward_medianbg_mean.png</w:t>
      </w:r>
    </w:p>
    <w:p>
      <w:r>
        <w:t>Source: C:\Users\Conor O'Brien\Dropbox\03_AML\00 IN-BOX\AFM Topo Particle processing OUT\run_grains_full_wt10_20260304_145519\summary_outputs\combined\fig_isolated_count_grid_cv_wt10_particle_forward_medianbg_mean.png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OUT\run_grains_full_wt25_20260304_145519\summary_outputs\combined\fig_isolated_count_grid_std_wt25_particle_forward_medianbg_mean.png</w:t>
      </w:r>
    </w:p>
    <w:p>
      <w:r>
        <w:t>Source: C:\Users\Conor O'Brien\Dropbox\03_AML\00 IN-BOX\AFM Topo Particle processing OUT\run_grains_full_wt25_20260304_145519\summary_outputs\combined\fig_isolated_count_grid_se_wt25_particle_forward_medianbg_mean.png</w:t>
      </w:r>
    </w:p>
    <w:p>
      <w:r>
        <w:t>Source: C:\Users\Conor O'Brien\Dropbox\03_AML\00 IN-BOX\AFM Topo Particle processing OUT\run_grains_full_wt25_20260304_145519\summary_outputs\combined\fig_isolated_count_grid_cv_wt25_particle_forward_medianbg_mean.png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3.203</w:t>
            </w:r>
          </w:p>
        </w:tc>
        <w:tc>
          <w:tcPr>
            <w:tcW w:type="dxa" w:w="1728"/>
          </w:tcPr>
          <w:p>
            <w:r>
              <w:t>10.2%</w:t>
            </w:r>
          </w:p>
        </w:tc>
        <w:tc>
          <w:tcPr>
            <w:tcW w:type="dxa" w:w="1728"/>
          </w:tcPr>
          <w:p>
            <w:r>
              <w:t>13</w:t>
            </w:r>
          </w:p>
        </w:tc>
        <w:tc>
          <w:tcPr>
            <w:tcW w:type="dxa" w:w="1728"/>
          </w:tcPr>
          <w:p>
            <w:r>
              <w:t>386</w:t>
            </w:r>
          </w:p>
        </w:tc>
      </w:tr>
      <w:tr>
        <w:tc>
          <w:tcPr>
            <w:tcW w:type="dxa" w:w="1728"/>
          </w:tcPr>
          <w:p>
            <w:r>
              <w:t>25 wt% SiNP</w:t>
            </w:r>
          </w:p>
        </w:tc>
        <w:tc>
          <w:tcPr>
            <w:tcW w:type="dxa" w:w="1728"/>
          </w:tcPr>
          <w:p>
            <w:r>
              <w:t>3.181</w:t>
            </w:r>
          </w:p>
        </w:tc>
        <w:tc>
          <w:tcPr>
            <w:tcW w:type="dxa" w:w="1728"/>
          </w:tcPr>
          <w:p>
            <w:r>
              <w:t>3.8%</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Full-method grain diameter summaries for PEGDA, 1 wt% TPO, no coating, separated by 10 wt% and 25 wt% SiNP. Bar plots show method-wise mean +/- standard deviation; box plots show the corresponding diameter distributions.</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28 scans and from 13 to 46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28</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28</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28</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28</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46</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46</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46</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46</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97760"/>
            <wp:docPr id="34" name="Picture 34"/>
            <wp:cNvGraphicFramePr>
              <a:graphicFrameLocks noChangeAspect="1"/>
            </wp:cNvGraphicFramePr>
            <a:graphic>
              <a:graphicData uri="http://schemas.openxmlformats.org/drawingml/2006/picture">
                <pic:pic>
                  <pic:nvPicPr>
                    <pic:cNvPr id="0" name="fig_isolated_count_mean_by_job_10pct.png"/>
                    <pic:cNvPicPr/>
                  </pic:nvPicPr>
                  <pic:blipFill>
                    <a:blip r:embed="rId40"/>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35" name="Picture 35"/>
            <wp:cNvGraphicFramePr>
              <a:graphicFrameLocks noChangeAspect="1"/>
            </wp:cNvGraphicFramePr>
            <a:graphic>
              <a:graphicData uri="http://schemas.openxmlformats.org/drawingml/2006/picture">
                <pic:pic>
                  <pic:nvPicPr>
                    <pic:cNvPr id="0" name="fig_isolated_count_mean_by_job_25pct.png"/>
                    <pic:cNvPicPr/>
                  </pic:nvPicPr>
                  <pic:blipFill>
                    <a:blip r:embed="rId41"/>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5394960" cy="2997200"/>
            <wp:docPr id="36" name="Picture 36"/>
            <wp:cNvGraphicFramePr>
              <a:graphicFrameLocks noChangeAspect="1"/>
            </wp:cNvGraphicFramePr>
            <a:graphic>
              <a:graphicData uri="http://schemas.openxmlformats.org/drawingml/2006/picture">
                <pic:pic>
                  <pic:nvPicPr>
                    <pic:cNvPr id="0" name="risk_aggregate_wt_percent_10_poisson.png"/>
                    <pic:cNvPicPr/>
                  </pic:nvPicPr>
                  <pic:blipFill>
                    <a:blip r:embed="rId42"/>
                    <a:stretch>
                      <a:fillRect/>
                    </a:stretch>
                  </pic:blipFill>
                  <pic:spPr>
                    <a:xfrm>
                      <a:off x="0" y="0"/>
                      <a:ext cx="5394960" cy="2997200"/>
                    </a:xfrm>
                    <a:prstGeom prst="rect"/>
                  </pic:spPr>
                </pic:pic>
              </a:graphicData>
            </a:graphic>
          </wp:inline>
        </w:drawing>
      </w:r>
    </w:p>
    <w:p>
      <w:r>
        <w:drawing>
          <wp:inline xmlns:a="http://schemas.openxmlformats.org/drawingml/2006/main" xmlns:pic="http://schemas.openxmlformats.org/drawingml/2006/picture">
            <wp:extent cx="5394960" cy="2997200"/>
            <wp:docPr id="37" name="Picture 37"/>
            <wp:cNvGraphicFramePr>
              <a:graphicFrameLocks noChangeAspect="1"/>
            </wp:cNvGraphicFramePr>
            <a:graphic>
              <a:graphicData uri="http://schemas.openxmlformats.org/drawingml/2006/picture">
                <pic:pic>
                  <pic:nvPicPr>
                    <pic:cNvPr id="0" name="risk_aggregate_wt_percent_25_poisson.png"/>
                    <pic:cNvPicPr/>
                  </pic:nvPicPr>
                  <pic:blipFill>
                    <a:blip r:embed="rId43"/>
                    <a:stretch>
                      <a:fillRect/>
                    </a:stretch>
                  </pic:blipFill>
                  <pic:spPr>
                    <a:xfrm>
                      <a:off x="0" y="0"/>
                      <a:ext cx="5394960" cy="2997200"/>
                    </a:xfrm>
                    <a:prstGeom prst="rect"/>
                  </pic:spPr>
                </pic:pic>
              </a:graphicData>
            </a:graphic>
          </wp:inline>
        </w:drawing>
      </w:r>
    </w:p>
    <w:p>
      <w:r>
        <w:t>Figure 6.9 - Aggregate Poisson success-probability curves for all methods, separated by 10 wt% and 25 wt% SiNP.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OUT\run_grains_full_wt10_20260304_145519\summary_outputs\fits\risk_aggregate_wt_percent_10_poisson.png</w:t>
      </w:r>
    </w:p>
    <w:p>
      <w:r>
        <w:t>Source: C:\Users\Conor O'Brien\Dropbox\03_AML\00 IN-BOX\AFM Topo Particle processing OUT\run_grains_full_wt25_20260304_145519\summary_outputs\fits\risk_aggregate_wt_percent_25_poisson.png</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crossover value p* is therefore the minimum confirmation fraction required for the currently available inventory to remain sufficient; it is not the probability that a crossover event occurs.</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3.203</w:t>
            </w:r>
          </w:p>
        </w:tc>
        <w:tc>
          <w:tcPr>
            <w:tcW w:type="dxa" w:w="2160"/>
          </w:tcPr>
          <w:p>
            <w:r>
              <w:t>386</w:t>
            </w:r>
          </w:p>
        </w:tc>
        <w:tc>
          <w:tcPr>
            <w:tcW w:type="dxa" w:w="2160"/>
          </w:tcPr>
          <w:p>
            <w:r>
              <w:t>0.032</w:t>
            </w:r>
          </w:p>
        </w:tc>
      </w:tr>
      <w:tr>
        <w:tc>
          <w:tcPr>
            <w:tcW w:type="dxa" w:w="2160"/>
          </w:tcPr>
          <w:p>
            <w:r>
              <w:t>25 wt% SiNP</w:t>
            </w:r>
          </w:p>
        </w:tc>
        <w:tc>
          <w:tcPr>
            <w:tcW w:type="dxa" w:w="2160"/>
          </w:tcPr>
          <w:p>
            <w:r>
              <w:t>3.181</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38" name="Picture 38"/>
            <wp:cNvGraphicFramePr>
              <a:graphicFrameLocks noChangeAspect="1"/>
            </wp:cNvGraphicFramePr>
            <a:graphic>
              <a:graphicData uri="http://schemas.openxmlformats.org/drawingml/2006/picture">
                <pic:pic>
                  <pic:nvPicPr>
                    <pic:cNvPr id="0" name="chapter6_crossover_by_method.png"/>
                    <pic:cNvPicPr/>
                  </pic:nvPicPr>
                  <pic:blipFill>
                    <a:blip r:embed="rId44"/>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p>
      <w:r>
        <w:t>A second discussion point is model justification. The current datasets are large enough that both 10 wt% and 25 wt% inventories substantially exceed the scan requirement for the immediate Stage 1 feasibility claim, even though the two loadings do not contain equal numbers of scans. That does not by itself prove that Poisson is the only appropriate count model; rather, it shows that the present inventories are comfortably above the threshold needed to estimate the isolated-particle rate for this decision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