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5 Draft - Statistical Validation Framework (Stage 1)</w:t>
      </w:r>
    </w:p>
    <w:p>
      <w:r>
        <w:t>Draft generated: 2026-03-06 15:57</w:t>
      </w:r>
    </w:p>
    <w:p>
      <w:r>
        <w:t>This chapter defines the Stage 1 statistical validation framework used to determine whether the fracture-surface topography dataset contains enough isolated particle candidates to justify Stage 2 multi-channel interrogation. The chapter is methodological in scope: it defines the counting workflow, filtering rules, isolation logic, and statistical decision criteria used later in Chapter 6.</w:t>
      </w:r>
    </w:p>
    <w:p>
      <w:r>
        <w:t>The chapter does not present final per-system outcomes, interphase conclusions, or mechanistic interpretation of electro-mechanical behavior. Those tasks belong to the results and discussion chapters.</w:t>
      </w:r>
    </w:p>
    <w:p>
      <w:pPr>
        <w:pStyle w:val="Heading1"/>
      </w:pPr>
      <w:r>
        <w:t>5.2 Nomenclature and Workflow Definitions</w:t>
      </w:r>
    </w:p>
    <w:p>
      <w:r>
        <w:t>Project-specific terminology is defined here so that later chapters can use a stable vocabulary without redefining the workflow repeatedly. In this thesis, a scan is one AFM image collected at one indexed grid position, while the full survey grid refers to the nominal 21 x 21 arrangement of scan locations across the fracture surface.</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 used in this thesis</w:t>
            </w:r>
          </w:p>
        </w:tc>
      </w:tr>
      <w:tr>
        <w:tc>
          <w:tcPr>
            <w:tcW w:type="dxa" w:w="4320"/>
          </w:tcPr>
          <w:p>
            <w:r>
              <w:t>Scan</w:t>
            </w:r>
          </w:p>
        </w:tc>
        <w:tc>
          <w:tcPr>
            <w:tcW w:type="dxa" w:w="4320"/>
          </w:tcPr>
          <w:p>
            <w:r>
              <w:t>One 5 um x 5 um AFM image acquired at one grid position.</w:t>
            </w:r>
          </w:p>
        </w:tc>
      </w:tr>
      <w:tr>
        <w:tc>
          <w:tcPr>
            <w:tcW w:type="dxa" w:w="4320"/>
          </w:tcPr>
          <w:p>
            <w:r>
              <w:t>Grid</w:t>
            </w:r>
          </w:p>
        </w:tc>
        <w:tc>
          <w:tcPr>
            <w:tcW w:type="dxa" w:w="4320"/>
          </w:tcPr>
          <w:p>
            <w:r>
              <w:t>The nominal 21 x 21 survey layout spanning the larger fracture-surface area.</w:t>
            </w:r>
          </w:p>
        </w:tc>
      </w:tr>
      <w:tr>
        <w:tc>
          <w:tcPr>
            <w:tcW w:type="dxa" w:w="4320"/>
          </w:tcPr>
          <w:p>
            <w:r>
              <w:t>Sample set</w:t>
            </w:r>
          </w:p>
        </w:tc>
        <w:tc>
          <w:tcPr>
            <w:tcW w:type="dxa" w:w="4320"/>
          </w:tcPr>
          <w:p>
            <w:r>
              <w:t>One grouped collection of scans associated with one physical sample / surface condition.</w:t>
            </w:r>
          </w:p>
        </w:tc>
      </w:tr>
      <w:tr>
        <w:tc>
          <w:tcPr>
            <w:tcW w:type="dxa" w:w="4320"/>
          </w:tcPr>
          <w:p>
            <w:r>
              <w:t>Job</w:t>
            </w:r>
          </w:p>
        </w:tc>
        <w:tc>
          <w:tcPr>
            <w:tcW w:type="dxa" w:w="4320"/>
          </w:tcPr>
          <w:p>
            <w:r>
              <w:t>One named execution route that applies a defined preprocessing and threshold combination to a scan set and writes its own outputs.</w:t>
            </w:r>
          </w:p>
        </w:tc>
      </w:tr>
      <w:tr>
        <w:tc>
          <w:tcPr>
            <w:tcW w:type="dxa" w:w="4320"/>
          </w:tcPr>
          <w:p>
            <w:r>
              <w:t>Profile</w:t>
            </w:r>
          </w:p>
        </w:tc>
        <w:tc>
          <w:tcPr>
            <w:tcW w:type="dxa" w:w="4320"/>
          </w:tcPr>
          <w:p>
            <w:r>
              <w:t>The reusable recipe that a job points to in the config-driven workflow.</w:t>
            </w:r>
          </w:p>
        </w:tc>
      </w:tr>
      <w:tr>
        <w:tc>
          <w:tcPr>
            <w:tcW w:type="dxa" w:w="4320"/>
          </w:tcPr>
          <w:p>
            <w:r>
              <w:t>Processing mode</w:t>
            </w:r>
          </w:p>
        </w:tc>
        <w:tc>
          <w:tcPr>
            <w:tcW w:type="dxa" w:w="4320"/>
          </w:tcPr>
          <w:p>
            <w:r>
              <w:t>The operation chain used by a profile, implemented through Gwyddion/pygwy and supplemental Python logic.</w:t>
            </w:r>
          </w:p>
        </w:tc>
      </w:tr>
      <w:tr>
        <w:tc>
          <w:tcPr>
            <w:tcW w:type="dxa" w:w="4320"/>
          </w:tcPr>
          <w:p>
            <w:r>
              <w:t>Candidate particle</w:t>
            </w:r>
          </w:p>
        </w:tc>
        <w:tc>
          <w:tcPr>
            <w:tcW w:type="dxa" w:w="4320"/>
          </w:tcPr>
          <w:p>
            <w:r>
              <w:t>A topographic grain that survives thresholding, diameter filtering, and edge exclusion in Stage 1.</w:t>
            </w:r>
          </w:p>
        </w:tc>
      </w:tr>
      <w:tr>
        <w:tc>
          <w:tcPr>
            <w:tcW w:type="dxa" w:w="4320"/>
          </w:tcPr>
          <w:p>
            <w:r>
              <w:t>Isolated particle</w:t>
            </w:r>
          </w:p>
        </w:tc>
        <w:tc>
          <w:tcPr>
            <w:tcW w:type="dxa" w:w="4320"/>
          </w:tcPr>
          <w:p>
            <w:r>
              <w:t>A candidate particle that also satisfies the center-to-center isolation rule.</w:t>
            </w:r>
          </w:p>
        </w:tc>
      </w:tr>
      <w:tr>
        <w:tc>
          <w:tcPr>
            <w:tcW w:type="dxa" w:w="4320"/>
          </w:tcPr>
          <w:p>
            <w:r>
              <w:t>Confirmed particle</w:t>
            </w:r>
          </w:p>
        </w:tc>
        <w:tc>
          <w:tcPr>
            <w:tcW w:type="dxa" w:w="4320"/>
          </w:tcPr>
          <w:p>
            <w:r>
              <w:t>A Stage 2 validated particle after multi-channel confirmation.</w:t>
            </w:r>
          </w:p>
        </w:tc>
      </w:tr>
      <w:tr>
        <w:tc>
          <w:tcPr>
            <w:tcW w:type="dxa" w:w="4320"/>
          </w:tcPr>
          <w:p>
            <w:r>
              <w:t>Grain</w:t>
            </w:r>
          </w:p>
        </w:tc>
        <w:tc>
          <w:tcPr>
            <w:tcW w:type="dxa" w:w="4320"/>
          </w:tcPr>
          <w:p>
            <w:r>
              <w:t>A segmented feature returned by Gwyddion grain analysis; not automatically equivalent to a true particle.</w:t>
            </w:r>
          </w:p>
        </w:tc>
      </w:tr>
      <w:tr>
        <w:tc>
          <w:tcPr>
            <w:tcW w:type="dxa" w:w="4320"/>
          </w:tcPr>
          <w:p>
            <w:r>
              <w:t>Baseline</w:t>
            </w:r>
          </w:p>
        </w:tc>
        <w:tc>
          <w:tcPr>
            <w:tcW w:type="dxa" w:w="4320"/>
          </w:tcPr>
          <w:p>
            <w:r>
              <w:t>The reference method or reference dataset used for comparison; the meaning is stated explicitly where used.</w:t>
            </w:r>
          </w:p>
        </w:tc>
      </w:tr>
      <w:tr>
        <w:tc>
          <w:tcPr>
            <w:tcW w:type="dxa" w:w="4320"/>
          </w:tcPr>
          <w:p>
            <w:r>
              <w:t>Stage 1</w:t>
            </w:r>
          </w:p>
        </w:tc>
        <w:tc>
          <w:tcPr>
            <w:tcW w:type="dxa" w:w="4320"/>
          </w:tcPr>
          <w:p>
            <w:r>
              <w:t>Topography-based survey analysis used to estimate particle presence, isolation frequency, and scan sufficiency.</w:t>
            </w:r>
          </w:p>
        </w:tc>
      </w:tr>
      <w:tr>
        <w:tc>
          <w:tcPr>
            <w:tcW w:type="dxa" w:w="4320"/>
          </w:tcPr>
          <w:p>
            <w:r>
              <w:t>Stage 2</w:t>
            </w:r>
          </w:p>
        </w:tc>
        <w:tc>
          <w:tcPr>
            <w:tcW w:type="dxa" w:w="4320"/>
          </w:tcPr>
          <w:p>
            <w:r>
              <w:t>Conditional follow-on analysis that would confirm candidate particles using multi-channel evidence.</w:t>
            </w:r>
          </w:p>
        </w:tc>
      </w:tr>
    </w:tbl>
    <w:p>
      <w:r>
        <w:t>The term particle therefore has three different levels of specificity in this thesis: a grain is the raw segmented object, a candidate particle is a grain retained after the Stage 1 rules are applied, and a confirmed particle is a candidate that survives later Stage 2 validation. This distinction is necessary because Stage 1 counts alone do not prove that every retained topographic feature is a true silica particle.</w:t>
      </w:r>
    </w:p>
    <w:p>
      <w:pPr>
        <w:pStyle w:val="Heading1"/>
      </w:pPr>
      <w:r>
        <w:t>5.3 Dataset Structure and Scan Selection</w:t>
      </w:r>
    </w:p>
    <w:p>
      <w:r>
        <w:t>The Stage 1 dataset consisted of forward topography scans collected on fracture surfaces and later grouped by SiNP loading and surface condition. Only forward scans were retained in the present workflow. This was a method-selection decision based on the earlier modulus validation work, which showed close agreement between forward and backward scan directions. As a result, including both directions in the Stage 1 topography survey would have introduced redundancy without materially changing the feasibility question addressed here.</w:t>
      </w:r>
    </w:p>
    <w:p>
      <w:r>
        <w:t>The nominal survey geometry was a 21 x 21 grid of 5 um x 5 um scans collected across a larger fracture-surface region. Actual included scan inventories could be smaller than the nominal grid for some grouped sample sets. Those final inventories are reported in Chapter 6 as results, rather than assumed here from the nominal layout. Chapter 3 provides the sample-preparation and fracture-system details, and Chapter 4 defines the AFM acquisition procedure and nominal survey layout used to generate the Stage 1 scan sets.</w:t>
      </w:r>
    </w:p>
    <w:p>
      <w:pPr>
        <w:pStyle w:val="Heading1"/>
      </w:pPr>
      <w:r>
        <w:t>5.4 Particle Counting Workflow</w:t>
      </w:r>
    </w:p>
    <w:p>
      <w:r>
        <w:t>The Stage 1 particle-counting workflow is config-driven. Raw TIFF inputs are grouped into jobs, each job points to a reusable profile, and each profile resolves to a processing mode that defines the operation chain applied to every scan. Core preprocessing and grain operations are executed through Gwyddion/pygwy so that leveling, line correction, background removal, and grain measurement follow the same operation family available in the Gwyddion environment. Python-side logic is used only where the workflow requires explicit, reproducible calculations not available as a single Gwyddion GUI action, such as threshold-resolution bookkeeping, diameter conversion, and the final isolation-distance check.</w:t>
      </w:r>
    </w:p>
    <w:p>
      <w:r>
        <w:t>For the current topography particle study, two preprocessing families were used. The median-background family applies horizontal row alignment, plane leveling, a second horizontal row alignment, median background removal, and a 3-pixel median filter. The flatten-base family uses the same front-end alignment and plane-leveling steps, but replaces median background removal with flatten-base correction before the same 3-pixel median filter. These families were paired with multiple threshold rules so that Stage 1 sensitivity to threshold selection could be tested without changing the rest of the measurement chain.</w:t>
      </w:r>
    </w:p>
    <w:tbl>
      <w:tblPr>
        <w:tblStyle w:val="TableGrid"/>
        <w:tblW w:type="auto" w:w="0"/>
        <w:tblLook w:firstColumn="1" w:firstRow="1" w:lastColumn="0" w:lastRow="0" w:noHBand="0" w:noVBand="1" w:val="04A0"/>
      </w:tblPr>
      <w:tblGrid>
        <w:gridCol w:w="2880"/>
        <w:gridCol w:w="2880"/>
        <w:gridCol w:w="2880"/>
      </w:tblGrid>
      <w:tr>
        <w:tc>
          <w:tcPr>
            <w:tcW w:type="dxa" w:w="2880"/>
          </w:tcPr>
          <w:p>
            <w:r>
              <w:t>Job family</w:t>
            </w:r>
          </w:p>
        </w:tc>
        <w:tc>
          <w:tcPr>
            <w:tcW w:type="dxa" w:w="2880"/>
          </w:tcPr>
          <w:p>
            <w:r>
              <w:t>Operation sequence</w:t>
            </w:r>
          </w:p>
        </w:tc>
        <w:tc>
          <w:tcPr>
            <w:tcW w:type="dxa" w:w="2880"/>
          </w:tcPr>
          <w:p>
            <w:r>
              <w:t>Purpose</w:t>
            </w:r>
          </w:p>
        </w:tc>
      </w:tr>
      <w:tr>
        <w:tc>
          <w:tcPr>
            <w:tcW w:type="dxa" w:w="2880"/>
          </w:tcPr>
          <w:p>
            <w:r>
              <w:t>Median background</w:t>
            </w:r>
          </w:p>
        </w:tc>
        <w:tc>
          <w:tcPr>
            <w:tcW w:type="dxa" w:w="2880"/>
          </w:tcPr>
          <w:p>
            <w:r>
              <w:t>Align Rows -&gt; Plane Level -&gt; Align Rows -&gt; Median background -&gt; Median(3)</w:t>
            </w:r>
          </w:p>
        </w:tc>
        <w:tc>
          <w:tcPr>
            <w:tcW w:type="dxa" w:w="2880"/>
          </w:tcPr>
          <w:p>
            <w:r>
              <w:t>Suppress scan-line artefacts and remove background using a median-based leveling route.</w:t>
            </w:r>
          </w:p>
        </w:tc>
      </w:tr>
      <w:tr>
        <w:tc>
          <w:tcPr>
            <w:tcW w:type="dxa" w:w="2880"/>
          </w:tcPr>
          <w:p>
            <w:r>
              <w:t>Flatten base</w:t>
            </w:r>
          </w:p>
        </w:tc>
        <w:tc>
          <w:tcPr>
            <w:tcW w:type="dxa" w:w="2880"/>
          </w:tcPr>
          <w:p>
            <w:r>
              <w:t>Align Rows -&gt; Plane Level -&gt; Align Rows -&gt; Flatten Base -&gt; Median(3)</w:t>
            </w:r>
          </w:p>
        </w:tc>
        <w:tc>
          <w:tcPr>
            <w:tcW w:type="dxa" w:w="2880"/>
          </w:tcPr>
          <w:p>
            <w:r>
              <w:t>Suppress scan-line artefacts and remove background using a flatten-base route.</w:t>
            </w:r>
          </w:p>
        </w:tc>
      </w:tr>
    </w:tbl>
    <w:p>
      <w:r>
        <w:t>After preprocessing, a thresholded mask is generated on the processed height field and passed to Gwyddion grain labeling. The raw segmented grain count obtained at this stage is reported as count_total_raw. Each grain is then converted to an equivalent circular diameter, filtered by the active diameter band, and checked for image-edge contact. The retained candidate count after those filters is reported as count_total_filtered. Finally, the retained grains are subjected to the isolation rule, producing count_isolated. The per-scan exports therefore preserve the entire progression from raw segmentation to isolated candidates rather than only the final count.</w:t>
      </w:r>
    </w:p>
    <w:tbl>
      <w:tblPr>
        <w:tblStyle w:val="TableGrid"/>
        <w:tblW w:type="auto" w:w="0"/>
        <w:tblLook w:firstColumn="1" w:firstRow="1" w:lastColumn="0" w:lastRow="0" w:noHBand="0" w:noVBand="1" w:val="04A0"/>
      </w:tblPr>
      <w:tblGrid>
        <w:gridCol w:w="4320"/>
        <w:gridCol w:w="4320"/>
      </w:tblGrid>
      <w:tr>
        <w:tc>
          <w:tcPr>
            <w:tcW w:type="dxa" w:w="4320"/>
          </w:tcPr>
          <w:p>
            <w:r>
              <w:t>Output field</w:t>
            </w:r>
          </w:p>
        </w:tc>
        <w:tc>
          <w:tcPr>
            <w:tcW w:type="dxa" w:w="4320"/>
          </w:tcPr>
          <w:p>
            <w:r>
              <w:t>Meaning</w:t>
            </w:r>
          </w:p>
        </w:tc>
      </w:tr>
      <w:tr>
        <w:tc>
          <w:tcPr>
            <w:tcW w:type="dxa" w:w="4320"/>
          </w:tcPr>
          <w:p>
            <w:r>
              <w:t>count_total_raw</w:t>
            </w:r>
          </w:p>
        </w:tc>
        <w:tc>
          <w:tcPr>
            <w:tcW w:type="dxa" w:w="4320"/>
          </w:tcPr>
          <w:p>
            <w:r>
              <w:t>Raw grain count after thresholded grain segmentation.</w:t>
            </w:r>
          </w:p>
        </w:tc>
      </w:tr>
      <w:tr>
        <w:tc>
          <w:tcPr>
            <w:tcW w:type="dxa" w:w="4320"/>
          </w:tcPr>
          <w:p>
            <w:r>
              <w:t>count_total_filtered</w:t>
            </w:r>
          </w:p>
        </w:tc>
        <w:tc>
          <w:tcPr>
            <w:tcW w:type="dxa" w:w="4320"/>
          </w:tcPr>
          <w:p>
            <w:r>
              <w:t>Count after diameter filtering and edge exclusion.</w:t>
            </w:r>
          </w:p>
        </w:tc>
      </w:tr>
      <w:tr>
        <w:tc>
          <w:tcPr>
            <w:tcW w:type="dxa" w:w="4320"/>
          </w:tcPr>
          <w:p>
            <w:r>
              <w:t>count_isolated</w:t>
            </w:r>
          </w:p>
        </w:tc>
        <w:tc>
          <w:tcPr>
            <w:tcW w:type="dxa" w:w="4320"/>
          </w:tcPr>
          <w:p>
            <w:r>
              <w:t>Count after the isolation-distance rule is also applied.</w:t>
            </w:r>
          </w:p>
        </w:tc>
      </w:tr>
      <w:tr>
        <w:tc>
          <w:tcPr>
            <w:tcW w:type="dxa" w:w="4320"/>
          </w:tcPr>
          <w:p>
            <w:r>
              <w:t>mean_diam_nm</w:t>
            </w:r>
          </w:p>
        </w:tc>
        <w:tc>
          <w:tcPr>
            <w:tcW w:type="dxa" w:w="4320"/>
          </w:tcPr>
          <w:p>
            <w:r>
              <w:t>Mean diameter of retained candidate particles in nanometers.</w:t>
            </w:r>
          </w:p>
        </w:tc>
      </w:tr>
      <w:tr>
        <w:tc>
          <w:tcPr>
            <w:tcW w:type="dxa" w:w="4320"/>
          </w:tcPr>
          <w:p>
            <w:r>
              <w:t>std_diam_nm</w:t>
            </w:r>
          </w:p>
        </w:tc>
        <w:tc>
          <w:tcPr>
            <w:tcW w:type="dxa" w:w="4320"/>
          </w:tcPr>
          <w:p>
            <w:r>
              <w:t>Standard deviation of retained candidate-particle diameter in nanometers.</w:t>
            </w:r>
          </w:p>
        </w:tc>
      </w:tr>
      <w:tr>
        <w:tc>
          <w:tcPr>
            <w:tcW w:type="dxa" w:w="4320"/>
          </w:tcPr>
          <w:p>
            <w:r>
              <w:t>threshold</w:t>
            </w:r>
          </w:p>
        </w:tc>
        <w:tc>
          <w:tcPr>
            <w:tcW w:type="dxa" w:w="4320"/>
          </w:tcPr>
          <w:p>
            <w:r>
              <w:t>Numeric threshold used for that scan after preprocessing.</w:t>
            </w:r>
          </w:p>
        </w:tc>
      </w:tr>
      <w:tr>
        <w:tc>
          <w:tcPr>
            <w:tcW w:type="dxa" w:w="4320"/>
          </w:tcPr>
          <w:p>
            <w:r>
              <w:t>threshold_source</w:t>
            </w:r>
          </w:p>
        </w:tc>
        <w:tc>
          <w:tcPr>
            <w:tcW w:type="dxa" w:w="4320"/>
          </w:tcPr>
          <w:p>
            <w:r>
              <w:t>The rule that produced the threshold (mean, fixed 0, percentile, or combined maximum).</w:t>
            </w:r>
          </w:p>
        </w:tc>
      </w:tr>
    </w:tbl>
    <w:p>
      <w:r>
        <w:t>The current threshold routes are: mean threshold, fixed zero threshold, percentile-95 threshold, and a combined maximum threshold defined as max(mean, 0.0, p95). These routes are treated as controlled sensitivity variations within the same Stage 1 framework rather than as separate experimental programs.</w:t>
      </w:r>
    </w:p>
    <w:p>
      <w:pPr>
        <w:pStyle w:val="Heading1"/>
      </w:pPr>
      <w:r>
        <w:t>5.5 Diameter Filtering and Edge Exclusion</w:t>
      </w:r>
    </w:p>
    <w:p>
      <w:r>
        <w:t>Each thresholded grain is converted to an equivalent circular diameter so that a physically interpretable size filter can be applied. The equivalent circular diameter is computed from grain area in pixel units and then converted to nanometers using the lateral pixel size of the AFM scan.</w:t>
      </w:r>
    </w:p>
    <w:p>
      <w:r>
        <w:t>Equivalent circular diameter in pixels:</w:t>
      </w:r>
    </w:p>
    <w:p>
      <w:r>
        <w:t>d_eq,px = 2 * sqrt(A_px / pi)</w:t>
      </w:r>
    </w:p>
    <w:p>
      <w:r>
        <w:t>Diameter conversion to nanometers:</w:t>
      </w:r>
    </w:p>
    <w:p>
      <w:r>
        <w:t>d_eq,nm = d_eq,px * p_nm</w:t>
      </w:r>
    </w:p>
    <w:p>
      <w:r>
        <w:t>where A_px is the grain area in pixels and p_nm is the lateral size of one pixel in nanometers. The active diameter band must always be taken from the run config used to generate the dataset. Earlier comparison runs used 350-550 nm, while the current corrected rerun uses 250-550 nm. The thesis text should therefore state the band actually used for the specific generated outputs being discussed.</w:t>
      </w:r>
    </w:p>
    <w:p>
      <w:r>
        <w:t>Edge exclusion is applied after diameter filtering so that grains intersecting the image border are not counted as retained candidates. Operationally, a grain is excluded if its center minus radius or center plus radius falls outside the image extent. This prevents partial particles at the scan boundary from biasing both the diameter and isolation statistics.</w:t>
      </w:r>
    </w:p>
    <w:p>
      <w:pPr>
        <w:pStyle w:val="Heading1"/>
      </w:pPr>
      <w:r>
        <w:t>5.6 Isolation Criteria</w:t>
      </w:r>
    </w:p>
    <w:p>
      <w:r>
        <w:t>Candidate particles are not automatically useful for Stage 2. The relevant Stage 1 quantity is the number of candidate particles that remain spatially isolated enough to be interrogated individually. Isolation is defined using a minimum center-to-center distance computed between every retained candidate and its nearest retained neighbor.</w:t>
      </w:r>
    </w:p>
    <w:p>
      <w:r>
        <w:t>Isolation rule:</w:t>
      </w:r>
    </w:p>
    <w:p>
      <w:r>
        <w:t>min(d_ij) &gt;= 900 nm</w:t>
      </w:r>
    </w:p>
    <w:p>
      <w:r>
        <w:t>where d_ij is the center-to-center distance between retained candidates i and j. A retained candidate is counted as isolated only when its nearest retained neighbor is at least 900 nm away. This rule converts the Stage 1 question from simple particle presence to usable particle availability, which is the quantity that matters for a future Stage 2 interphase interrogation campaign.</w:t>
      </w:r>
    </w:p>
    <w:p>
      <w:pPr>
        <w:pStyle w:val="Heading1"/>
      </w:pPr>
      <w:r>
        <w:t>5.7 Isolation Probability Model</w:t>
      </w:r>
    </w:p>
    <w:p>
      <w:r>
        <w:t>The isolated-particle count per scan is treated as the primary random variable for the Stage 1 scan-sufficiency model. Let X_i denote the isolated-particle count in scan i and let S_n = sum(X_i) denote the accumulated number of isolated particles obtained after n scans. In the baseline formulation used here, the isolated count per scan is modeled with a Poisson process having mean lambda.</w:t>
      </w:r>
    </w:p>
    <w:p>
      <w:r>
        <w:t>Poisson baseline:</w:t>
      </w:r>
    </w:p>
    <w:p>
      <w:r>
        <w:t>X_i ~ Poisson(lambda)</w:t>
      </w:r>
    </w:p>
    <w:p>
      <w:r>
        <w:t>S_n ~ Poisson(n * lambda)</w:t>
      </w:r>
    </w:p>
    <w:p>
      <w:r>
        <w:t>This model is used as a practical count model for Stage 1 feasibility. Its role is not to claim a perfect microscopic physical model of particle occurrence, but to provide a reproducible way to translate observed isolated-particle frequency into a scan budget and a zero-yield risk estimate. The corresponding contrapositive question is the probability of scanning n regions and still obtaining zero isolated particles, which provides an operational risk metric for unproductive scan effort.</w:t>
      </w:r>
    </w:p>
    <w:p>
      <w:pPr>
        <w:pStyle w:val="Heading1"/>
      </w:pPr>
      <w:r>
        <w:t>5.8 Required Scan Count for 95% Confidence</w:t>
      </w:r>
    </w:p>
    <w:p>
      <w:r>
        <w:t>The thesis decision rule is based on the number of scans required to achieve a target total number of isolated particles with a specified confidence level. If T is the target isolated-particle total and q is the target confidence level, then the required number of scans is the smallest n such that the probability of obtaining at least T isolated particles after n scans is at least q.</w:t>
      </w:r>
    </w:p>
    <w:p>
      <w:r>
        <w:t>Required scan count definition:</w:t>
      </w:r>
    </w:p>
    <w:p>
      <w:r>
        <w:t>Find the smallest n such that P(S_n &gt;= T) &gt;= q</w:t>
      </w:r>
    </w:p>
    <w:p>
      <w:r>
        <w:t>In the present work, the central reporting threshold is q = 0.95. This is the quantity later reported in Chapter 6 as the required scan count for 95% confidence. The reported result is therefore confidence-based and should not be reduced to the intuition shortcut N/p. The N/p form is useful only as a rough heuristic when discussing how a future Stage 2 confirmation fraction would scale the required scan effort.</w:t>
      </w:r>
    </w:p>
    <w:p>
      <w:pPr>
        <w:pStyle w:val="Heading1"/>
      </w:pPr>
      <w:r>
        <w:t>5.9 Processing Sensitivity and Validation Scope</w:t>
      </w:r>
    </w:p>
    <w:p>
      <w:r>
        <w:t>Multiple preprocessing and threshold routes were retained in the workflow as a sensitivity and validation layer. Their role is to test whether the Stage 1 feasibility conclusion is stable to reasonable variations in background removal and threshold definition. This chapter does not attempt to exhaustively optimize every thresholding or segmentation route. Instead, it establishes the logic by which route sensitivity is checked and then leaves the quantitative comparison outcomes to Chapter 6.</w:t>
      </w:r>
    </w:p>
    <w:p>
      <w:pPr>
        <w:pStyle w:val="Heading1"/>
      </w:pPr>
      <w:r>
        <w:t>5.10 Reproducibility and Validation Artifacts</w:t>
      </w:r>
    </w:p>
    <w:p>
      <w:r>
        <w:t>The reported workflow is config-driven and traceable. Jobs, profiles, processing modes, and exported summary fields are all fixed by the run configuration and written to dedicated output directories. Debug artifacts, review packs, and per-particle/per-grain exports can be generated to support validation of the batch workflow.</w:t>
      </w:r>
    </w:p>
    <w:p>
      <w:r>
        <w:t>A manual Gwyddion GUI parity SOP was also prepared as a verification artifact so that a human user can reproduce the Stage 1 topography particle workflow on individual scans outside the automated batch pipeline. That SOP is provided as appendix support material and should be treated as a manual validation aid, not as the primary production method used for reportable dataset generation.</w:t>
      </w:r>
    </w:p>
    <w:p>
      <w:r>
        <w:t>With the counting workflow, diameter filter, isolation rule, and scan-sufficiency model defined, Chapter 6 can apply this framework to the Stage 1 dataset and make the explicit feasibility decision for the current PEGDA-SiNP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