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13:04</w:t>
      </w:r>
    </w:p>
    <w:p>
      <w:r>
        <w:t>Scope: measurement feasibility, scan efficiency, and decision thresholds only.</w:t>
      </w:r>
    </w:p>
    <w:p>
      <w:pPr>
        <w:pStyle w:val="Heading1"/>
      </w:pPr>
      <w:r>
        <w:t>6.1 Processing Validation - Baseline PEGDA (No SiNP)</w:t>
      </w:r>
    </w:p>
    <w:p>
      <w:r>
        <w:t>Baseline validation still depends on the topo-only PEGDA rerun for a direct false-positive bound. For this draft, the workflow credibility argument rests on the completed method-validation work and the consistency of the completed Stage 1 outputs.</w:t>
      </w:r>
    </w:p>
    <w:p>
      <w:r>
        <w:t>Figure 6.1 gives an early orienting summary so the chapter does not open without a figure.</w:t>
      </w:r>
    </w:p>
    <w:p>
      <w:r>
        <w:drawing>
          <wp:inline xmlns:a="http://schemas.openxmlformats.org/drawingml/2006/main" xmlns:pic="http://schemas.openxmlformats.org/drawingml/2006/picture">
            <wp:extent cx="5394960" cy="3443034"/>
            <wp:docPr id="1" name="Picture 1"/>
            <wp:cNvGraphicFramePr>
              <a:graphicFrameLocks noChangeAspect="1"/>
            </wp:cNvGraphicFramePr>
            <a:graphic>
              <a:graphicData uri="http://schemas.openxmlformats.org/drawingml/2006/picture">
                <pic:pic>
                  <pic:nvPicPr>
                    <pic:cNvPr id="0" name="chapter6_stage1_overview.png"/>
                    <pic:cNvPicPr/>
                  </pic:nvPicPr>
                  <pic:blipFill>
                    <a:blip r:embed="rId9"/>
                    <a:stretch>
                      <a:fillRect/>
                    </a:stretch>
                  </pic:blipFill>
                  <pic:spPr>
                    <a:xfrm>
                      <a:off x="0" y="0"/>
                      <a:ext cx="5394960" cy="3443034"/>
                    </a:xfrm>
                    <a:prstGeom prst="rect"/>
                  </pic:spPr>
                </pic:pic>
              </a:graphicData>
            </a:graphic>
          </wp:inline>
        </w:drawing>
      </w:r>
    </w:p>
    <w:p>
      <w:r>
        <w:t>Figure 6.1 - Stage 1 overview for PEGDA, 1 wt% TPO, no coating, comparing 10 wt% and 25 wt% SiNP. Bars show mean candidate and isolated counts per scan with standard deviations.</w:t>
      </w:r>
    </w:p>
    <w:p>
      <w:r>
        <w:t>Source: docs\Thesis\generated_assets\chapter6_stage1_overview.png</w:t>
      </w:r>
    </w:p>
    <w:p>
      <w:pPr>
        <w:pStyle w:val="Heading1"/>
      </w:pPr>
      <w:r>
        <w:t>6.2 Stage 1 - Particle Presence in PEGDA-SiNP</w:t>
      </w:r>
    </w:p>
    <w:p>
      <w:pPr>
        <w:pStyle w:val="Heading2"/>
      </w:pPr>
      <w:r>
        <w:t>6.2.1 Scan Inventory</w:t>
      </w:r>
    </w:p>
    <w:p>
      <w:r>
        <w:rPr>
          <w:b/>
        </w:rPr>
        <w:t>Table 6.1 -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8.10 +/- 4.29 particles per scan for 10 wt% SiNP and 9.20 +/- 5.30 particles per scan for 25 wt% SiNP. Zero-count scans were rare in both sets (0.8% and 0.7%).</w:t>
      </w:r>
    </w:p>
    <w:p>
      <w:r>
        <w:t>The 25 wt% SiNP set showed a modest increase in candidate density relative to 10 wt% SiNP (1.14x), but this stage still describes candidate features, not fully validated true particles.</w:t>
      </w:r>
    </w:p>
    <w:p>
      <w:r>
        <w:t>Figures 6.2A and 6.2B show histograms of retained candidate-particle count per scan. In these plots, frequency is the number of scans falling at each retained-count value. For both loadings, the highest frequencies occur at low retained counts, indicating that most scans contain only a small number of retained candidate particles rather than large multi-particle populations.</w:t>
      </w:r>
    </w:p>
    <w:p>
      <w:r>
        <w:t>Figures 6.3A and 6.3B are mean count maps across the grouped sample sets for each loading. They show that retained candidate particles are distributed across the surveyed grid rather than concentrated at a single localized region. These maps summarize mean count only; they do not show per-position standard deviation, which should be treated as a separate variability layer if spatial uncertainty is discussed in detail.</w:t>
      </w:r>
    </w:p>
    <w:p>
      <w:r>
        <w:rPr>
          <w:b/>
        </w:rPr>
        <w:t>Table 6.2 -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8.10</w:t>
            </w:r>
          </w:p>
        </w:tc>
        <w:tc>
          <w:tcPr>
            <w:tcW w:type="dxa" w:w="1440"/>
          </w:tcPr>
          <w:p>
            <w:r>
              <w:t>4.29</w:t>
            </w:r>
          </w:p>
        </w:tc>
        <w:tc>
          <w:tcPr>
            <w:tcW w:type="dxa" w:w="1440"/>
          </w:tcPr>
          <w:p>
            <w:r>
              <w:t>0</w:t>
            </w:r>
          </w:p>
        </w:tc>
        <w:tc>
          <w:tcPr>
            <w:tcW w:type="dxa" w:w="1440"/>
          </w:tcPr>
          <w:p>
            <w:r>
              <w:t>23</w:t>
            </w:r>
          </w:p>
        </w:tc>
        <w:tc>
          <w:tcPr>
            <w:tcW w:type="dxa" w:w="1440"/>
          </w:tcPr>
          <w:p>
            <w:r>
              <w:t>0.8%</w:t>
            </w:r>
          </w:p>
        </w:tc>
      </w:tr>
      <w:tr>
        <w:tc>
          <w:tcPr>
            <w:tcW w:type="dxa" w:w="1440"/>
          </w:tcPr>
          <w:p>
            <w:r>
              <w:t>25 wt% SiNP</w:t>
            </w:r>
          </w:p>
        </w:tc>
        <w:tc>
          <w:tcPr>
            <w:tcW w:type="dxa" w:w="1440"/>
          </w:tcPr>
          <w:p>
            <w:r>
              <w:t>9.20</w:t>
            </w:r>
          </w:p>
        </w:tc>
        <w:tc>
          <w:tcPr>
            <w:tcW w:type="dxa" w:w="1440"/>
          </w:tcPr>
          <w:p>
            <w:r>
              <w:t>5.30</w:t>
            </w:r>
          </w:p>
        </w:tc>
        <w:tc>
          <w:tcPr>
            <w:tcW w:type="dxa" w:w="1440"/>
          </w:tcPr>
          <w:p>
            <w:r>
              <w:t>0</w:t>
            </w:r>
          </w:p>
        </w:tc>
        <w:tc>
          <w:tcPr>
            <w:tcW w:type="dxa" w:w="1440"/>
          </w:tcPr>
          <w:p>
            <w:r>
              <w:t>30</w:t>
            </w:r>
          </w:p>
        </w:tc>
        <w:tc>
          <w:tcPr>
            <w:tcW w:type="dxa" w:w="1440"/>
          </w:tcPr>
          <w:p>
            <w:r>
              <w:t>0.7%</w:t>
            </w:r>
          </w:p>
        </w:tc>
      </w:tr>
    </w:tbl>
    <w:p>
      <w:r>
        <w:drawing>
          <wp:inline xmlns:a="http://schemas.openxmlformats.org/drawingml/2006/main" xmlns:pic="http://schemas.openxmlformats.org/drawingml/2006/picture">
            <wp:extent cx="5394960" cy="3596640"/>
            <wp:docPr id="2" name="Picture 2"/>
            <wp:cNvGraphicFramePr>
              <a:graphicFrameLocks noChangeAspect="1"/>
            </wp:cNvGraphicFramePr>
            <a:graphic>
              <a:graphicData uri="http://schemas.openxmlformats.org/drawingml/2006/picture">
                <pic:pic>
                  <pic:nvPicPr>
                    <pic:cNvPr id="0" name="fig_particle_count_hist.png"/>
                    <pic:cNvPicPr/>
                  </pic:nvPicPr>
                  <pic:blipFill>
                    <a:blip r:embed="rId10"/>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3" name="Picture 3"/>
            <wp:cNvGraphicFramePr>
              <a:graphicFrameLocks noChangeAspect="1"/>
            </wp:cNvGraphicFramePr>
            <a:graphic>
              <a:graphicData uri="http://schemas.openxmlformats.org/drawingml/2006/picture">
                <pic:pic>
                  <pic:nvPicPr>
                    <pic:cNvPr id="0" name="fig_particle_count_hist.png"/>
                    <pic:cNvPicPr/>
                  </pic:nvPicPr>
                  <pic:blipFill>
                    <a:blip r:embed="rId11"/>
                    <a:stretch>
                      <a:fillRect/>
                    </a:stretch>
                  </pic:blipFill>
                  <pic:spPr>
                    <a:xfrm>
                      <a:off x="0" y="0"/>
                      <a:ext cx="5394960" cy="3596640"/>
                    </a:xfrm>
                    <a:prstGeom prst="rect"/>
                  </pic:spPr>
                </pic:pic>
              </a:graphicData>
            </a:graphic>
          </wp:inline>
        </w:drawing>
      </w:r>
    </w:p>
    <w:p>
      <w:r>
        <w:t>Figure 6.2 -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5394960" cy="4495800"/>
            <wp:docPr id="4" name="Picture 4"/>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12"/>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5" name="Picture 5"/>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13"/>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pPr>
        <w:pStyle w:val="Heading2"/>
      </w:pPr>
      <w:r>
        <w:t>6.2.3 Particle Diameter Distribution</w:t>
      </w:r>
    </w:p>
    <w:p>
      <w:r>
        <w:t>After applying the configured 350-550 nm filter, retained particle diameter averaged 432.91 +/- 56.66 nm for 10 wt% SiNP and 442.23 +/- 57.60 nm for 25 wt% SiNP. The retained means remain centered on the expected SiNP size band.</w:t>
      </w:r>
    </w:p>
    <w:p>
      <w:r>
        <w:rPr>
          <w:b/>
        </w:rPr>
        <w:t>Table 6.3 -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432.91</w:t>
            </w:r>
          </w:p>
        </w:tc>
        <w:tc>
          <w:tcPr>
            <w:tcW w:type="dxa" w:w="2160"/>
          </w:tcPr>
          <w:p>
            <w:r>
              <w:t>56.66</w:t>
            </w:r>
          </w:p>
        </w:tc>
      </w:tr>
      <w:tr>
        <w:tc>
          <w:tcPr>
            <w:tcW w:type="dxa" w:w="2160"/>
          </w:tcPr>
          <w:p>
            <w:r>
              <w:t>25 wt% SiNP</w:t>
            </w:r>
          </w:p>
        </w:tc>
        <w:tc>
          <w:tcPr>
            <w:tcW w:type="dxa" w:w="2160"/>
          </w:tcPr>
          <w:p>
            <w:r>
              <w:t>350-550</w:t>
            </w:r>
          </w:p>
        </w:tc>
        <w:tc>
          <w:tcPr>
            <w:tcW w:type="dxa" w:w="2160"/>
          </w:tcPr>
          <w:p>
            <w:r>
              <w:t>442.23</w:t>
            </w:r>
          </w:p>
        </w:tc>
        <w:tc>
          <w:tcPr>
            <w:tcW w:type="dxa" w:w="2160"/>
          </w:tcPr>
          <w:p>
            <w:r>
              <w:t>57.60</w:t>
            </w:r>
          </w:p>
        </w:tc>
      </w:tr>
    </w:tbl>
    <w:p>
      <w:r>
        <w:drawing>
          <wp:inline xmlns:a="http://schemas.openxmlformats.org/drawingml/2006/main" xmlns:pic="http://schemas.openxmlformats.org/drawingml/2006/picture">
            <wp:extent cx="5394960" cy="3596640"/>
            <wp:docPr id="6" name="Picture 6"/>
            <wp:cNvGraphicFramePr>
              <a:graphicFrameLocks noChangeAspect="1"/>
            </wp:cNvGraphicFramePr>
            <a:graphic>
              <a:graphicData uri="http://schemas.openxmlformats.org/drawingml/2006/picture">
                <pic:pic>
                  <pic:nvPicPr>
                    <pic:cNvPr id="0" name="fig_particle_diameter_hist.png"/>
                    <pic:cNvPicPr/>
                  </pic:nvPicPr>
                  <pic:blipFill>
                    <a:blip r:embed="rId14"/>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7" name="Picture 7"/>
            <wp:cNvGraphicFramePr>
              <a:graphicFrameLocks noChangeAspect="1"/>
            </wp:cNvGraphicFramePr>
            <a:graphic>
              <a:graphicData uri="http://schemas.openxmlformats.org/drawingml/2006/picture">
                <pic:pic>
                  <pic:nvPicPr>
                    <pic:cNvPr id="0" name="fig_particle_diameter_hist.png"/>
                    <pic:cNvPicPr/>
                  </pic:nvPicPr>
                  <pic:blipFill>
                    <a:blip r:embed="rId15"/>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3.05 +/- 1.62 per scan for 10 wt% SiNP and 3.16 +/- 1.68 per scan for 25 wt% SiNP. Scans with at least one isolated particle accounted for 95.6% and 95.5% of the two datasets, respectively.</w:t>
      </w:r>
    </w:p>
    <w:p>
      <w:r>
        <w:t>The key result is that the higher-loading dataset did not produce a proportionally larger isolated-particle yield. Mean isolated counts remained close (3.05 versus 3.16 isolated particles per scan) even though candidate density increased.</w:t>
      </w:r>
    </w:p>
    <w:p>
      <w:r>
        <w:t>As in the retained-count maps, the isolated-count heatmaps summarize mean isolated-particle count at each scan position across the grouped sample sets. They are therefore useful for showing spatial distribution, but not for showing the full between-sample spread at each position.</w:t>
      </w:r>
    </w:p>
    <w:p>
      <w:r>
        <w:rPr>
          <w:b/>
        </w:rPr>
        <w:t>Table 6.4 -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3.31</w:t>
            </w:r>
          </w:p>
        </w:tc>
        <w:tc>
          <w:tcPr>
            <w:tcW w:type="dxa" w:w="1440"/>
          </w:tcPr>
          <w:p>
            <w:r>
              <w:t>1.59</w:t>
            </w:r>
          </w:p>
        </w:tc>
        <w:tc>
          <w:tcPr>
            <w:tcW w:type="dxa" w:w="1440"/>
          </w:tcPr>
          <w:p>
            <w:r>
              <w:t>96.6%</w:t>
            </w:r>
          </w:p>
        </w:tc>
      </w:tr>
      <w:tr>
        <w:tc>
          <w:tcPr>
            <w:tcW w:type="dxa" w:w="1440"/>
          </w:tcPr>
          <w:p>
            <w:r>
              <w:t>10 wt% SiNP</w:t>
            </w:r>
          </w:p>
        </w:tc>
        <w:tc>
          <w:tcPr>
            <w:tcW w:type="dxa" w:w="1440"/>
          </w:tcPr>
          <w:p>
            <w:r>
              <w:t>PEGDA1TPO10SiNP Sa1 Si2</w:t>
            </w:r>
          </w:p>
        </w:tc>
        <w:tc>
          <w:tcPr>
            <w:tcW w:type="dxa" w:w="1440"/>
          </w:tcPr>
          <w:p>
            <w:r>
              <w:t>99</w:t>
            </w:r>
          </w:p>
        </w:tc>
        <w:tc>
          <w:tcPr>
            <w:tcW w:type="dxa" w:w="1440"/>
          </w:tcPr>
          <w:p>
            <w:r>
              <w:t>3.12</w:t>
            </w:r>
          </w:p>
        </w:tc>
        <w:tc>
          <w:tcPr>
            <w:tcW w:type="dxa" w:w="1440"/>
          </w:tcPr>
          <w:p>
            <w:r>
              <w:t>1.61</w:t>
            </w:r>
          </w:p>
        </w:tc>
        <w:tc>
          <w:tcPr>
            <w:tcW w:type="dxa" w:w="1440"/>
          </w:tcPr>
          <w:p>
            <w:r>
              <w:t>97.0%</w:t>
            </w:r>
          </w:p>
        </w:tc>
      </w:tr>
      <w:tr>
        <w:tc>
          <w:tcPr>
            <w:tcW w:type="dxa" w:w="1440"/>
          </w:tcPr>
          <w:p>
            <w:r>
              <w:t>10 wt% SiNP</w:t>
            </w:r>
          </w:p>
        </w:tc>
        <w:tc>
          <w:tcPr>
            <w:tcW w:type="dxa" w:w="1440"/>
          </w:tcPr>
          <w:p>
            <w:r>
              <w:t>PEGDA1TPO10SiNP Sam02 S1</w:t>
            </w:r>
          </w:p>
        </w:tc>
        <w:tc>
          <w:tcPr>
            <w:tcW w:type="dxa" w:w="1440"/>
          </w:tcPr>
          <w:p>
            <w:r>
              <w:t>100</w:t>
            </w:r>
          </w:p>
        </w:tc>
        <w:tc>
          <w:tcPr>
            <w:tcW w:type="dxa" w:w="1440"/>
          </w:tcPr>
          <w:p>
            <w:r>
              <w:t>3.17</w:t>
            </w:r>
          </w:p>
        </w:tc>
        <w:tc>
          <w:tcPr>
            <w:tcW w:type="dxa" w:w="1440"/>
          </w:tcPr>
          <w:p>
            <w:r>
              <w:t>1.72</w:t>
            </w:r>
          </w:p>
        </w:tc>
        <w:tc>
          <w:tcPr>
            <w:tcW w:type="dxa" w:w="1440"/>
          </w:tcPr>
          <w:p>
            <w:r>
              <w:t>97.0%</w:t>
            </w:r>
          </w:p>
        </w:tc>
      </w:tr>
      <w:tr>
        <w:tc>
          <w:tcPr>
            <w:tcW w:type="dxa" w:w="1440"/>
          </w:tcPr>
          <w:p>
            <w:r>
              <w:t>10 wt% SiNP</w:t>
            </w:r>
          </w:p>
        </w:tc>
        <w:tc>
          <w:tcPr>
            <w:tcW w:type="dxa" w:w="1440"/>
          </w:tcPr>
          <w:p>
            <w:r>
              <w:t>PEGDA1TPO10SiNP Sam02 S2</w:t>
            </w:r>
          </w:p>
        </w:tc>
        <w:tc>
          <w:tcPr>
            <w:tcW w:type="dxa" w:w="1440"/>
          </w:tcPr>
          <w:p>
            <w:r>
              <w:t>99</w:t>
            </w:r>
          </w:p>
        </w:tc>
        <w:tc>
          <w:tcPr>
            <w:tcW w:type="dxa" w:w="1440"/>
          </w:tcPr>
          <w:p>
            <w:r>
              <w:t>2.65</w:t>
            </w:r>
          </w:p>
        </w:tc>
        <w:tc>
          <w:tcPr>
            <w:tcW w:type="dxa" w:w="1440"/>
          </w:tcPr>
          <w:p>
            <w:r>
              <w:t>1.53</w:t>
            </w:r>
          </w:p>
        </w:tc>
        <w:tc>
          <w:tcPr>
            <w:tcW w:type="dxa" w:w="1440"/>
          </w:tcPr>
          <w:p>
            <w:r>
              <w:t>91.9%</w:t>
            </w:r>
          </w:p>
        </w:tc>
      </w:tr>
      <w:tr>
        <w:tc>
          <w:tcPr>
            <w:tcW w:type="dxa" w:w="1440"/>
          </w:tcPr>
          <w:p>
            <w:r>
              <w:t>25 wt% SiNP</w:t>
            </w:r>
          </w:p>
        </w:tc>
        <w:tc>
          <w:tcPr>
            <w:tcW w:type="dxa" w:w="1440"/>
          </w:tcPr>
          <w:p>
            <w:r>
              <w:t>PEGDA1TPO25SiNP Sam01 S2</w:t>
            </w:r>
          </w:p>
        </w:tc>
        <w:tc>
          <w:tcPr>
            <w:tcW w:type="dxa" w:w="1440"/>
          </w:tcPr>
          <w:p>
            <w:r>
              <w:t>55</w:t>
            </w:r>
          </w:p>
        </w:tc>
        <w:tc>
          <w:tcPr>
            <w:tcW w:type="dxa" w:w="1440"/>
          </w:tcPr>
          <w:p>
            <w:r>
              <w:t>3.11</w:t>
            </w:r>
          </w:p>
        </w:tc>
        <w:tc>
          <w:tcPr>
            <w:tcW w:type="dxa" w:w="1440"/>
          </w:tcPr>
          <w:p>
            <w:r>
              <w:t>1.80</w:t>
            </w:r>
          </w:p>
        </w:tc>
        <w:tc>
          <w:tcPr>
            <w:tcW w:type="dxa" w:w="1440"/>
          </w:tcPr>
          <w:p>
            <w:r>
              <w:t>96.4%</w:t>
            </w:r>
          </w:p>
        </w:tc>
      </w:tr>
      <w:tr>
        <w:tc>
          <w:tcPr>
            <w:tcW w:type="dxa" w:w="1440"/>
          </w:tcPr>
          <w:p>
            <w:r>
              <w:t>25 wt% SiNP</w:t>
            </w:r>
          </w:p>
        </w:tc>
        <w:tc>
          <w:tcPr>
            <w:tcW w:type="dxa" w:w="1440"/>
          </w:tcPr>
          <w:p>
            <w:r>
              <w:t>PEGDA1TPO25SiNP Sam02 S1</w:t>
            </w:r>
          </w:p>
        </w:tc>
        <w:tc>
          <w:tcPr>
            <w:tcW w:type="dxa" w:w="1440"/>
          </w:tcPr>
          <w:p>
            <w:r>
              <w:t>105</w:t>
            </w:r>
          </w:p>
        </w:tc>
        <w:tc>
          <w:tcPr>
            <w:tcW w:type="dxa" w:w="1440"/>
          </w:tcPr>
          <w:p>
            <w:r>
              <w:t>3.10</w:t>
            </w:r>
          </w:p>
        </w:tc>
        <w:tc>
          <w:tcPr>
            <w:tcW w:type="dxa" w:w="1440"/>
          </w:tcPr>
          <w:p>
            <w:r>
              <w:t>1.59</w:t>
            </w:r>
          </w:p>
        </w:tc>
        <w:tc>
          <w:tcPr>
            <w:tcW w:type="dxa" w:w="1440"/>
          </w:tcPr>
          <w:p>
            <w:r>
              <w:t>95.2%</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1.47</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3.31</w:t>
            </w:r>
          </w:p>
        </w:tc>
        <w:tc>
          <w:tcPr>
            <w:tcW w:type="dxa" w:w="1440"/>
          </w:tcPr>
          <w:p>
            <w:r>
              <w:t>1.63</w:t>
            </w:r>
          </w:p>
        </w:tc>
        <w:tc>
          <w:tcPr>
            <w:tcW w:type="dxa" w:w="1440"/>
          </w:tcPr>
          <w:p>
            <w:r>
              <w:t>97.1%</w:t>
            </w:r>
          </w:p>
        </w:tc>
      </w:tr>
      <w:tr>
        <w:tc>
          <w:tcPr>
            <w:tcW w:type="dxa" w:w="1440"/>
          </w:tcPr>
          <w:p>
            <w:r>
              <w:t>25 wt% SiNP</w:t>
            </w:r>
          </w:p>
        </w:tc>
        <w:tc>
          <w:tcPr>
            <w:tcW w:type="dxa" w:w="1440"/>
          </w:tcPr>
          <w:p>
            <w:r>
              <w:t>PEGDA1TPO25SiNP Sam03 S2</w:t>
            </w:r>
          </w:p>
        </w:tc>
        <w:tc>
          <w:tcPr>
            <w:tcW w:type="dxa" w:w="1440"/>
          </w:tcPr>
          <w:p>
            <w:r>
              <w:t>105</w:t>
            </w:r>
          </w:p>
        </w:tc>
        <w:tc>
          <w:tcPr>
            <w:tcW w:type="dxa" w:w="1440"/>
          </w:tcPr>
          <w:p>
            <w:r>
              <w:t>2.90</w:t>
            </w:r>
          </w:p>
        </w:tc>
        <w:tc>
          <w:tcPr>
            <w:tcW w:type="dxa" w:w="1440"/>
          </w:tcPr>
          <w:p>
            <w:r>
              <w:t>1.80</w:t>
            </w:r>
          </w:p>
        </w:tc>
        <w:tc>
          <w:tcPr>
            <w:tcW w:type="dxa" w:w="1440"/>
          </w:tcPr>
          <w:p>
            <w:r>
              <w:t>92.4%</w:t>
            </w:r>
          </w:p>
        </w:tc>
      </w:tr>
    </w:tbl>
    <w:p>
      <w:r>
        <w:drawing>
          <wp:inline xmlns:a="http://schemas.openxmlformats.org/drawingml/2006/main" xmlns:pic="http://schemas.openxmlformats.org/drawingml/2006/picture">
            <wp:extent cx="5394960" cy="3596640"/>
            <wp:docPr id="8" name="Picture 8"/>
            <wp:cNvGraphicFramePr>
              <a:graphicFrameLocks noChangeAspect="1"/>
            </wp:cNvGraphicFramePr>
            <a:graphic>
              <a:graphicData uri="http://schemas.openxmlformats.org/drawingml/2006/picture">
                <pic:pic>
                  <pic:nvPicPr>
                    <pic:cNvPr id="0" name="fig_isolated_count_hist.png"/>
                    <pic:cNvPicPr/>
                  </pic:nvPicPr>
                  <pic:blipFill>
                    <a:blip r:embed="rId16"/>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9" name="Picture 9"/>
            <wp:cNvGraphicFramePr>
              <a:graphicFrameLocks noChangeAspect="1"/>
            </wp:cNvGraphicFramePr>
            <a:graphic>
              <a:graphicData uri="http://schemas.openxmlformats.org/drawingml/2006/picture">
                <pic:pic>
                  <pic:nvPicPr>
                    <pic:cNvPr id="0" name="fig_isolated_count_hist.png"/>
                    <pic:cNvPicPr/>
                  </pic:nvPicPr>
                  <pic:blipFill>
                    <a:blip r:embed="rId17"/>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10" name="Picture 10"/>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18"/>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1" name="Picture 11"/>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19"/>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6.5 -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3.054</w:t>
            </w:r>
          </w:p>
        </w:tc>
        <w:tc>
          <w:tcPr>
            <w:tcW w:type="dxa" w:w="1728"/>
          </w:tcPr>
          <w:p>
            <w:r>
              <w:t>4.4%</w:t>
            </w:r>
          </w:p>
        </w:tc>
        <w:tc>
          <w:tcPr>
            <w:tcW w:type="dxa" w:w="1728"/>
          </w:tcPr>
          <w:p>
            <w:r>
              <w:t>13</w:t>
            </w:r>
          </w:p>
        </w:tc>
        <w:tc>
          <w:tcPr>
            <w:tcW w:type="dxa" w:w="1728"/>
          </w:tcPr>
          <w:p>
            <w:r>
              <w:t>386</w:t>
            </w:r>
          </w:p>
        </w:tc>
      </w:tr>
      <w:tr>
        <w:tc>
          <w:tcPr>
            <w:tcW w:type="dxa" w:w="1728"/>
          </w:tcPr>
          <w:p>
            <w:r>
              <w:t>25 wt% SiNP</w:t>
            </w:r>
          </w:p>
        </w:tc>
        <w:tc>
          <w:tcPr>
            <w:tcW w:type="dxa" w:w="1728"/>
          </w:tcPr>
          <w:p>
            <w:r>
              <w:t>3.156</w:t>
            </w:r>
          </w:p>
        </w:tc>
        <w:tc>
          <w:tcPr>
            <w:tcW w:type="dxa" w:w="1728"/>
          </w:tcPr>
          <w:p>
            <w:r>
              <w:t>4.5%</w:t>
            </w:r>
          </w:p>
        </w:tc>
        <w:tc>
          <w:tcPr>
            <w:tcW w:type="dxa" w:w="1728"/>
          </w:tcPr>
          <w:p>
            <w:r>
              <w:t>13</w:t>
            </w:r>
          </w:p>
        </w:tc>
        <w:tc>
          <w:tcPr>
            <w:tcW w:type="dxa" w:w="1728"/>
          </w:tcPr>
          <w:p>
            <w:r>
              <w:t>404</w:t>
            </w:r>
          </w:p>
        </w:tc>
      </w:tr>
    </w:tbl>
    <w:p>
      <w:pPr>
        <w:pStyle w:val="Heading1"/>
      </w:pPr>
      <w:r>
        <w:t>6.4 Grain Metrics</w:t>
      </w:r>
    </w:p>
    <w:p>
      <w:r>
        <w:t>Grain exports are now available for the full method matrix. These do not replace particle or isolation statistics, but they strengthen the segmentation-quality discussion and provide an additional diameter-based consistency check.</w:t>
      </w:r>
    </w:p>
    <w:p>
      <w:r>
        <w:rPr>
          <w:b/>
        </w:rPr>
        <w:t>Table 6.6 -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fixed 0 + p95</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Flatten + mean threshold</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fixed 0 + p95</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25 wt% SiNP</w:t>
            </w:r>
          </w:p>
        </w:tc>
        <w:tc>
          <w:tcPr>
            <w:tcW w:type="dxa" w:w="1234"/>
          </w:tcPr>
          <w:p>
            <w:r>
              <w:t>Median BG + mean threshold</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fixed 0 + p95</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Flatten + mean threshold</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fixed 0 + p95</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bl>
    <w:p>
      <w:r>
        <w:t>[MISSING FIGURE] Figure 6.7 - Full-method grain diameter summaries for PEGDA, 1 wt% TPO, no coating, separated by 10 wt% and 25 wt% SiNP. Bar plots show method-wise mean +/- standard deviation; box plots show the corresponding diameter distributions.</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3.05 +/- 1.62 to 0.91 +/- 1.16 per scan in 10 wt% SiNP and from 3.16 +/- 1.68 to 0.80 +/- 1.00 per scan in 25 wt% SiNP. The corresponding 95% scan requirements increased from 13 to 44 scans and from 13 to 50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6.7 -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1.00x</w:t>
            </w:r>
          </w:p>
        </w:tc>
        <w:tc>
          <w:tcPr>
            <w:tcW w:type="dxa" w:w="960"/>
          </w:tcPr>
          <w:p>
            <w:r>
              <w:t>0.305</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1.00x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1.00x</w:t>
            </w:r>
          </w:p>
        </w:tc>
        <w:tc>
          <w:tcPr>
            <w:tcW w:type="dxa" w:w="960"/>
          </w:tcPr>
          <w:p>
            <w:r>
              <w:t>0.305</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1.00x</w:t>
            </w:r>
          </w:p>
        </w:tc>
        <w:tc>
          <w:tcPr>
            <w:tcW w:type="dxa" w:w="960"/>
          </w:tcPr>
          <w:p>
            <w:r>
              <w:t>0.305</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0.91</w:t>
            </w:r>
          </w:p>
        </w:tc>
        <w:tc>
          <w:tcPr>
            <w:tcW w:type="dxa" w:w="960"/>
          </w:tcPr>
          <w:p>
            <w:r>
              <w:t>1.16</w:t>
            </w:r>
          </w:p>
        </w:tc>
        <w:tc>
          <w:tcPr>
            <w:tcW w:type="dxa" w:w="960"/>
          </w:tcPr>
          <w:p>
            <w:r>
              <w:t>49.5%</w:t>
            </w:r>
          </w:p>
        </w:tc>
        <w:tc>
          <w:tcPr>
            <w:tcW w:type="dxa" w:w="960"/>
          </w:tcPr>
          <w:p>
            <w:r>
              <w:t>44</w:t>
            </w:r>
          </w:p>
        </w:tc>
        <w:tc>
          <w:tcPr>
            <w:tcW w:type="dxa" w:w="960"/>
          </w:tcPr>
          <w:p>
            <w:r>
              <w:t>0.30x</w:t>
            </w:r>
          </w:p>
        </w:tc>
        <w:tc>
          <w:tcPr>
            <w:tcW w:type="dxa" w:w="960"/>
          </w:tcPr>
          <w:p>
            <w:r>
              <w:t>0.091</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44</w:t>
            </w:r>
          </w:p>
        </w:tc>
        <w:tc>
          <w:tcPr>
            <w:tcW w:type="dxa" w:w="960"/>
          </w:tcPr>
          <w:p>
            <w:r>
              <w:t>0.30x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0.91</w:t>
            </w:r>
          </w:p>
        </w:tc>
        <w:tc>
          <w:tcPr>
            <w:tcW w:type="dxa" w:w="960"/>
          </w:tcPr>
          <w:p>
            <w:r>
              <w:t>1.16</w:t>
            </w:r>
          </w:p>
        </w:tc>
        <w:tc>
          <w:tcPr>
            <w:tcW w:type="dxa" w:w="960"/>
          </w:tcPr>
          <w:p>
            <w:r>
              <w:t>49.5%</w:t>
            </w:r>
          </w:p>
        </w:tc>
        <w:tc>
          <w:tcPr>
            <w:tcW w:type="dxa" w:w="960"/>
          </w:tcPr>
          <w:p>
            <w:r>
              <w:t>44</w:t>
            </w:r>
          </w:p>
        </w:tc>
        <w:tc>
          <w:tcPr>
            <w:tcW w:type="dxa" w:w="960"/>
          </w:tcPr>
          <w:p>
            <w:r>
              <w:t>0.30x</w:t>
            </w:r>
          </w:p>
        </w:tc>
        <w:tc>
          <w:tcPr>
            <w:tcW w:type="dxa" w:w="960"/>
          </w:tcPr>
          <w:p>
            <w:r>
              <w:t>0.091</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0.91</w:t>
            </w:r>
          </w:p>
        </w:tc>
        <w:tc>
          <w:tcPr>
            <w:tcW w:type="dxa" w:w="960"/>
          </w:tcPr>
          <w:p>
            <w:r>
              <w:t>1.16</w:t>
            </w:r>
          </w:p>
        </w:tc>
        <w:tc>
          <w:tcPr>
            <w:tcW w:type="dxa" w:w="960"/>
          </w:tcPr>
          <w:p>
            <w:r>
              <w:t>49.5%</w:t>
            </w:r>
          </w:p>
        </w:tc>
        <w:tc>
          <w:tcPr>
            <w:tcW w:type="dxa" w:w="960"/>
          </w:tcPr>
          <w:p>
            <w:r>
              <w:t>44</w:t>
            </w:r>
          </w:p>
        </w:tc>
        <w:tc>
          <w:tcPr>
            <w:tcW w:type="dxa" w:w="960"/>
          </w:tcPr>
          <w:p>
            <w:r>
              <w:t>0.30x</w:t>
            </w:r>
          </w:p>
        </w:tc>
        <w:tc>
          <w:tcPr>
            <w:tcW w:type="dxa" w:w="960"/>
          </w:tcPr>
          <w:p>
            <w:r>
              <w:t>0.091</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1.00x</w:t>
            </w:r>
          </w:p>
        </w:tc>
        <w:tc>
          <w:tcPr>
            <w:tcW w:type="dxa" w:w="960"/>
          </w:tcPr>
          <w:p>
            <w:r>
              <w:t>0.126</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1.00x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1.00x</w:t>
            </w:r>
          </w:p>
        </w:tc>
        <w:tc>
          <w:tcPr>
            <w:tcW w:type="dxa" w:w="960"/>
          </w:tcPr>
          <w:p>
            <w:r>
              <w:t>0.126</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1.00x</w:t>
            </w:r>
          </w:p>
        </w:tc>
        <w:tc>
          <w:tcPr>
            <w:tcW w:type="dxa" w:w="960"/>
          </w:tcPr>
          <w:p>
            <w:r>
              <w:t>0.126</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0.80</w:t>
            </w:r>
          </w:p>
        </w:tc>
        <w:tc>
          <w:tcPr>
            <w:tcW w:type="dxa" w:w="960"/>
          </w:tcPr>
          <w:p>
            <w:r>
              <w:t>1.00</w:t>
            </w:r>
          </w:p>
        </w:tc>
        <w:tc>
          <w:tcPr>
            <w:tcW w:type="dxa" w:w="960"/>
          </w:tcPr>
          <w:p>
            <w:r>
              <w:t>50.2%</w:t>
            </w:r>
          </w:p>
        </w:tc>
        <w:tc>
          <w:tcPr>
            <w:tcW w:type="dxa" w:w="960"/>
          </w:tcPr>
          <w:p>
            <w:r>
              <w:t>50</w:t>
            </w:r>
          </w:p>
        </w:tc>
        <w:tc>
          <w:tcPr>
            <w:tcW w:type="dxa" w:w="960"/>
          </w:tcPr>
          <w:p>
            <w:r>
              <w:t>0.25x</w:t>
            </w:r>
          </w:p>
        </w:tc>
        <w:tc>
          <w:tcPr>
            <w:tcW w:type="dxa" w:w="960"/>
          </w:tcPr>
          <w:p>
            <w:r>
              <w:t>0.032</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50</w:t>
            </w:r>
          </w:p>
        </w:tc>
        <w:tc>
          <w:tcPr>
            <w:tcW w:type="dxa" w:w="960"/>
          </w:tcPr>
          <w:p>
            <w:r>
              <w:t>0.25x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0.80</w:t>
            </w:r>
          </w:p>
        </w:tc>
        <w:tc>
          <w:tcPr>
            <w:tcW w:type="dxa" w:w="960"/>
          </w:tcPr>
          <w:p>
            <w:r>
              <w:t>1.00</w:t>
            </w:r>
          </w:p>
        </w:tc>
        <w:tc>
          <w:tcPr>
            <w:tcW w:type="dxa" w:w="960"/>
          </w:tcPr>
          <w:p>
            <w:r>
              <w:t>50.2%</w:t>
            </w:r>
          </w:p>
        </w:tc>
        <w:tc>
          <w:tcPr>
            <w:tcW w:type="dxa" w:w="960"/>
          </w:tcPr>
          <w:p>
            <w:r>
              <w:t>50</w:t>
            </w:r>
          </w:p>
        </w:tc>
        <w:tc>
          <w:tcPr>
            <w:tcW w:type="dxa" w:w="960"/>
          </w:tcPr>
          <w:p>
            <w:r>
              <w:t>0.25x</w:t>
            </w:r>
          </w:p>
        </w:tc>
        <w:tc>
          <w:tcPr>
            <w:tcW w:type="dxa" w:w="960"/>
          </w:tcPr>
          <w:p>
            <w:r>
              <w:t>0.032</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0.80</w:t>
            </w:r>
          </w:p>
        </w:tc>
        <w:tc>
          <w:tcPr>
            <w:tcW w:type="dxa" w:w="960"/>
          </w:tcPr>
          <w:p>
            <w:r>
              <w:t>1.00</w:t>
            </w:r>
          </w:p>
        </w:tc>
        <w:tc>
          <w:tcPr>
            <w:tcW w:type="dxa" w:w="960"/>
          </w:tcPr>
          <w:p>
            <w:r>
              <w:t>50.2%</w:t>
            </w:r>
          </w:p>
        </w:tc>
        <w:tc>
          <w:tcPr>
            <w:tcW w:type="dxa" w:w="960"/>
          </w:tcPr>
          <w:p>
            <w:r>
              <w:t>50</w:t>
            </w:r>
          </w:p>
        </w:tc>
        <w:tc>
          <w:tcPr>
            <w:tcW w:type="dxa" w:w="960"/>
          </w:tcPr>
          <w:p>
            <w:r>
              <w:t>0.25x</w:t>
            </w:r>
          </w:p>
        </w:tc>
        <w:tc>
          <w:tcPr>
            <w:tcW w:type="dxa" w:w="960"/>
          </w:tcPr>
          <w:p>
            <w:r>
              <w:t>0.032</w:t>
            </w:r>
          </w:p>
        </w:tc>
      </w:tr>
    </w:tbl>
    <w:p>
      <w:r>
        <w:drawing>
          <wp:inline xmlns:a="http://schemas.openxmlformats.org/drawingml/2006/main" xmlns:pic="http://schemas.openxmlformats.org/drawingml/2006/picture">
            <wp:extent cx="5394960" cy="2397760"/>
            <wp:docPr id="12" name="Picture 12"/>
            <wp:cNvGraphicFramePr>
              <a:graphicFrameLocks noChangeAspect="1"/>
            </wp:cNvGraphicFramePr>
            <a:graphic>
              <a:graphicData uri="http://schemas.openxmlformats.org/drawingml/2006/picture">
                <pic:pic>
                  <pic:nvPicPr>
                    <pic:cNvPr id="0" name="fig_isolated_count_mean_by_job_10pct.png"/>
                    <pic:cNvPicPr/>
                  </pic:nvPicPr>
                  <pic:blipFill>
                    <a:blip r:embed="rId20"/>
                    <a:stretch>
                      <a:fillRect/>
                    </a:stretch>
                  </pic:blipFill>
                  <pic:spPr>
                    <a:xfrm>
                      <a:off x="0" y="0"/>
                      <a:ext cx="5394960" cy="2397760"/>
                    </a:xfrm>
                    <a:prstGeom prst="rect"/>
                  </pic:spPr>
                </pic:pic>
              </a:graphicData>
            </a:graphic>
          </wp:inline>
        </w:drawing>
      </w:r>
    </w:p>
    <w:p>
      <w:r>
        <w:drawing>
          <wp:inline xmlns:a="http://schemas.openxmlformats.org/drawingml/2006/main" xmlns:pic="http://schemas.openxmlformats.org/drawingml/2006/picture">
            <wp:extent cx="5394960" cy="2397760"/>
            <wp:docPr id="13" name="Picture 13"/>
            <wp:cNvGraphicFramePr>
              <a:graphicFrameLocks noChangeAspect="1"/>
            </wp:cNvGraphicFramePr>
            <a:graphic>
              <a:graphicData uri="http://schemas.openxmlformats.org/drawingml/2006/picture">
                <pic:pic>
                  <pic:nvPicPr>
                    <pic:cNvPr id="0" name="fig_isolated_count_mean_by_job_25pct.png"/>
                    <pic:cNvPicPr/>
                  </pic:nvPicPr>
                  <pic:blipFill>
                    <a:blip r:embed="rId21"/>
                    <a:stretch>
                      <a:fillRect/>
                    </a:stretch>
                  </pic:blipFill>
                  <pic:spPr>
                    <a:xfrm>
                      <a:off x="0" y="0"/>
                      <a:ext cx="5394960" cy="2397760"/>
                    </a:xfrm>
                    <a:prstGeom prst="rect"/>
                  </pic:spPr>
                </pic:pic>
              </a:graphicData>
            </a:graphic>
          </wp:inline>
        </w:drawing>
      </w:r>
    </w:p>
    <w:p>
      <w:r>
        <w:t>Figure 6.8 - Full-method comparison of mean isolated-particle yield by job and SiNP loading for PEGDA, 1 wt% TPO, no coating. These plots summarize how preprocessing and threshold choices affect isolated-particle yield.</w:t>
      </w:r>
    </w:p>
    <w:p>
      <w:r>
        <w:t>Source: C:\Users\Conor O'Brien\Dropbox\03_AML\00 IN-BOX\AFM Topo Particle processing OUT\run_grains_full_wt10_20260304_145519\summary_outputs\compare_by_wt\fig_isolated_count_mean_by_job_10pct.png</w:t>
      </w:r>
    </w:p>
    <w:p>
      <w:r>
        <w:t>Source: C:\Users\Conor O'Brien\Dropbox\03_AML\00 IN-BOX\AFM Topo Particle processing OUT\run_grains_full_wt25_20260304_145519\summary_outputs\compare_by_wt\fig_isolated_count_mean_by_job_25pct.png</w:t>
      </w:r>
    </w:p>
    <w:p>
      <w:r>
        <w:drawing>
          <wp:inline xmlns:a="http://schemas.openxmlformats.org/drawingml/2006/main" xmlns:pic="http://schemas.openxmlformats.org/drawingml/2006/picture">
            <wp:extent cx="5394960" cy="2997200"/>
            <wp:docPr id="14" name="Picture 14"/>
            <wp:cNvGraphicFramePr>
              <a:graphicFrameLocks noChangeAspect="1"/>
            </wp:cNvGraphicFramePr>
            <a:graphic>
              <a:graphicData uri="http://schemas.openxmlformats.org/drawingml/2006/picture">
                <pic:pic>
                  <pic:nvPicPr>
                    <pic:cNvPr id="0" name="risk_aggregate_wt_percent_10_poisson.png"/>
                    <pic:cNvPicPr/>
                  </pic:nvPicPr>
                  <pic:blipFill>
                    <a:blip r:embed="rId22"/>
                    <a:stretch>
                      <a:fillRect/>
                    </a:stretch>
                  </pic:blipFill>
                  <pic:spPr>
                    <a:xfrm>
                      <a:off x="0" y="0"/>
                      <a:ext cx="5394960" cy="2997200"/>
                    </a:xfrm>
                    <a:prstGeom prst="rect"/>
                  </pic:spPr>
                </pic:pic>
              </a:graphicData>
            </a:graphic>
          </wp:inline>
        </w:drawing>
      </w:r>
    </w:p>
    <w:p>
      <w:r>
        <w:drawing>
          <wp:inline xmlns:a="http://schemas.openxmlformats.org/drawingml/2006/main" xmlns:pic="http://schemas.openxmlformats.org/drawingml/2006/picture">
            <wp:extent cx="5394960" cy="2997200"/>
            <wp:docPr id="15" name="Picture 15"/>
            <wp:cNvGraphicFramePr>
              <a:graphicFrameLocks noChangeAspect="1"/>
            </wp:cNvGraphicFramePr>
            <a:graphic>
              <a:graphicData uri="http://schemas.openxmlformats.org/drawingml/2006/picture">
                <pic:pic>
                  <pic:nvPicPr>
                    <pic:cNvPr id="0" name="risk_aggregate_wt_percent_25_poisson.png"/>
                    <pic:cNvPicPr/>
                  </pic:nvPicPr>
                  <pic:blipFill>
                    <a:blip r:embed="rId23"/>
                    <a:stretch>
                      <a:fillRect/>
                    </a:stretch>
                  </pic:blipFill>
                  <pic:spPr>
                    <a:xfrm>
                      <a:off x="0" y="0"/>
                      <a:ext cx="5394960" cy="2997200"/>
                    </a:xfrm>
                    <a:prstGeom prst="rect"/>
                  </pic:spPr>
                </pic:pic>
              </a:graphicData>
            </a:graphic>
          </wp:inline>
        </w:drawing>
      </w:r>
    </w:p>
    <w:p>
      <w:r>
        <w:t>Figure 6.9 - Aggregate Poisson success-probability curves for all methods, separated by 10 wt% and 25 wt% SiNP. Horizontal dashed lines mark the 90%, 95%, and 99% success thresholds; vertical markers show the 95%-requirement scan count for each method.</w:t>
      </w:r>
    </w:p>
    <w:p>
      <w:r>
        <w:t>Source: C:\Users\Conor O'Brien\Dropbox\03_AML\00 IN-BOX\AFM Topo Particle processing OUT\run_grains_full_wt10_20260304_145519\summary_outputs\fits\risk_aggregate_wt_percent_10_poisson.png</w:t>
      </w:r>
    </w:p>
    <w:p>
      <w:r>
        <w:t>Source: C:\Users\Conor O'Brien\Dropbox\03_AML\00 IN-BOX\AFM Topo Particle processing OUT\run_grains_full_wt25_20260304_145519\summary_outputs\fits\risk_aggregate_wt_percent_25_poisson.png</w:t>
      </w:r>
    </w:p>
    <w:p>
      <w:pPr>
        <w:pStyle w:val="Heading1"/>
      </w:pPr>
      <w:r>
        <w:t>6.6 Stage 2 Trigger / Crossover Decision</w:t>
      </w:r>
    </w:p>
    <w:p>
      <w:r>
        <w:t>The Stage 2 trigger is expressed as a sensitivity study in confirmation probability p. The question is how far the confirmation rate could drop before the current Stage 1 scan pool would no longer meet the 30-particle, 95%-confidence target.</w:t>
      </w:r>
    </w:p>
    <w:p>
      <w:r>
        <w:t>Figure 6.10 should be read as follows: the x-axis is the assumed fraction of Stage 1 isolated candidates that would later be confirmed as true particles in Stage 2, and the y-axis is the number of scans required to still achieve the Stage 2 target. The horizontal reference line is the number of scans already available. The crossover value p* is therefore the minimum confirmation fraction required for the currently available inventory to remain sufficient; it is not the probability that a crossover event occurs.</w:t>
      </w:r>
    </w:p>
    <w:p>
      <w:r>
        <w:rPr>
          <w:b/>
        </w:rPr>
        <w:t>Table 6.8 -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3.054</w:t>
            </w:r>
          </w:p>
        </w:tc>
        <w:tc>
          <w:tcPr>
            <w:tcW w:type="dxa" w:w="2160"/>
          </w:tcPr>
          <w:p>
            <w:r>
              <w:t>386</w:t>
            </w:r>
          </w:p>
        </w:tc>
        <w:tc>
          <w:tcPr>
            <w:tcW w:type="dxa" w:w="2160"/>
          </w:tcPr>
          <w:p>
            <w:r>
              <w:t>0.034</w:t>
            </w:r>
          </w:p>
        </w:tc>
      </w:tr>
      <w:tr>
        <w:tc>
          <w:tcPr>
            <w:tcW w:type="dxa" w:w="2160"/>
          </w:tcPr>
          <w:p>
            <w:r>
              <w:t>25 wt% SiNP</w:t>
            </w:r>
          </w:p>
        </w:tc>
        <w:tc>
          <w:tcPr>
            <w:tcW w:type="dxa" w:w="2160"/>
          </w:tcPr>
          <w:p>
            <w:r>
              <w:t>3.156</w:t>
            </w:r>
          </w:p>
        </w:tc>
        <w:tc>
          <w:tcPr>
            <w:tcW w:type="dxa" w:w="2160"/>
          </w:tcPr>
          <w:p>
            <w:r>
              <w:t>404</w:t>
            </w:r>
          </w:p>
        </w:tc>
        <w:tc>
          <w:tcPr>
            <w:tcW w:type="dxa" w:w="2160"/>
          </w:tcPr>
          <w:p>
            <w:r>
              <w:t>0.031</w:t>
            </w:r>
          </w:p>
        </w:tc>
      </w:tr>
    </w:tbl>
    <w:p>
      <w:r>
        <w:drawing>
          <wp:inline xmlns:a="http://schemas.openxmlformats.org/drawingml/2006/main" xmlns:pic="http://schemas.openxmlformats.org/drawingml/2006/picture">
            <wp:extent cx="6035040" cy="2518973"/>
            <wp:docPr id="16" name="Picture 16"/>
            <wp:cNvGraphicFramePr>
              <a:graphicFrameLocks noChangeAspect="1"/>
            </wp:cNvGraphicFramePr>
            <a:graphic>
              <a:graphicData uri="http://schemas.openxmlformats.org/drawingml/2006/picture">
                <pic:pic>
                  <pic:nvPicPr>
                    <pic:cNvPr id="0" name="chapter6_crossover_by_method.png"/>
                    <pic:cNvPicPr/>
                  </pic:nvPicPr>
                  <pic:blipFill>
                    <a:blip r:embed="rId24"/>
                    <a:stretch>
                      <a:fillRect/>
                    </a:stretch>
                  </pic:blipFill>
                  <pic:spPr>
                    <a:xfrm>
                      <a:off x="0" y="0"/>
                      <a:ext cx="6035040" cy="2518973"/>
                    </a:xfrm>
                    <a:prstGeom prst="rect"/>
                  </pic:spPr>
                </pic:pic>
              </a:graphicData>
            </a:graphic>
          </wp:inline>
        </w:drawing>
      </w:r>
    </w:p>
    <w:p>
      <w:r>
        <w:t>Figure 6.10 -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pPr>
        <w:pStyle w:val="Heading1"/>
      </w:pPr>
      <w:r>
        <w:t>6.7 Stage 1 Decision</w:t>
      </w:r>
    </w:p>
    <w:p>
      <w:r>
        <w:t>For 10 wt% SiNP, candidate particle presence was confirmed, the retained diameter distribution remained consistent with the configured 350-550 nm size window, isolated particles occurred in 95.6%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95.5%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Discussion is appropriate here so long as it remains tied to measurement feasibility. At present the chapter supports two firm claims and one provisional claim. The firm claims are that isolated particles are available in sufficient number under the primary route and that higher loading does not automatically produce a higher yield of usable isolated targets. The provisional claim is the detailed threshold-variant comparison, which must be regenerated after the threshold-mask fix is propagated through the full dataset.</w:t>
      </w:r>
    </w:p>
    <w:p>
      <w:r>
        <w:t>The remaining uncertainty is not whether isolated candidates exist, but what fraction of those candidates will be confirmed as true particles once Stage 2 multi-channel validation is performed. That is why the crossover figure belongs in this chapter: it converts Stage 2 from a vague next step into a quantitative decision threshold while keeping Stage 2 itself as a neutral unknown to be investigated rather than assumed.</w:t>
      </w:r>
    </w:p>
    <w:p>
      <w:r>
        <w:t>A second discussion point is model justification. The current datasets are large enough that both 10 wt% and 25 wt% inventories substantially exceed the scan requirement for the immediate Stage 1 feasibility claim, even though the two loadings do not contain equal numbers of scans. That does not by itself prove that Poisson is the only appropriate count model; rather, it shows that the present inventories are comfortably above the threshold needed to estimate the isolated-particle rate for this decision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