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Statistical Validation Framework (Stage 1)</w:t>
      </w:r>
    </w:p>
    <w:p>
      <w:r>
        <w:t>Draft generated: 2026-03-08 23:39</w:t>
      </w:r>
    </w:p>
    <w:p>
      <w:r>
        <w:t>This chapter defines the Stage 1 statistical validation framework used to determine whether the fracture surface topography dataset contains enough isolated particle candidates to justify Stage 2 multi channel interrogation. The chapter defines how the data are organized, how candidate particles are detected, how diameter and isolation rules are applied, how the isolation probability model is used, how route validation supports the chosen method, and how the final Stage 1 decision rule is stated in Section 5.7. For all of Stage 1, the reported topography dataset was limited to forward scans, using prior modulus comparison of forward and backward channels as the basis for that dataset choice.</w:t>
      </w:r>
    </w:p>
    <w:p>
      <w:pPr>
        <w:pStyle w:val="Heading1"/>
      </w:pPr>
      <w:r>
        <w:t>5.1 Data Organization and Preprocessing</w:t>
      </w:r>
    </w:p>
    <w:p>
      <w:r>
        <w:t>The Stage 1 workflow begins with organized topography scans collected on fracture surfaces and grouped for later statistical analysis. Each scan is one AFM image acquired at one grid position. Those scans are organized into grouped sample sets by SiNP loading and by surface condition so that later comparisons can be made without losing track of physical sample provenance. For the present Stage 1 study, the primary grouped conditions were 10 wt% and 25 wt% SiNP loading, each further split into scraped and non scraped surface states.</w:t>
      </w:r>
    </w:p>
    <w:p>
      <w:r>
        <w:t>The terminology used for the remainder of Chapters 5 and 6 is summarized in Table 5.1 so that the same workflow objects are described consistently across the methods and results chapters.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 surface area.</w:t>
            </w:r>
          </w:p>
        </w:tc>
      </w:tr>
      <w:tr>
        <w:tc>
          <w:tcPr>
            <w:tcW w:type="dxa" w:w="4320"/>
          </w:tcPr>
          <w:p>
            <w:r>
              <w:t>Sample set</w:t>
            </w:r>
          </w:p>
        </w:tc>
        <w:tc>
          <w:tcPr>
            <w:tcW w:type="dxa" w:w="4320"/>
          </w:tcPr>
          <w:p>
            <w:r>
              <w:t>One grouped collection of scans associated with one physical sample and one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 driven workflow.</w:t>
            </w:r>
          </w:p>
        </w:tc>
      </w:tr>
      <w:tr>
        <w:tc>
          <w:tcPr>
            <w:tcW w:type="dxa" w:w="4320"/>
          </w:tcPr>
          <w:p>
            <w:r>
              <w:t>Processing mode</w:t>
            </w:r>
          </w:p>
        </w:tc>
        <w:tc>
          <w:tcPr>
            <w:tcW w:type="dxa" w:w="4320"/>
          </w:tcPr>
          <w:p>
            <w:r>
              <w:t>The operation chain used by a profile, implemented through Gwyddion, 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 to center isolation rule.</w:t>
            </w:r>
          </w:p>
        </w:tc>
      </w:tr>
      <w:tr>
        <w:tc>
          <w:tcPr>
            <w:tcW w:type="dxa" w:w="4320"/>
          </w:tcPr>
          <w:p>
            <w:r>
              <w:t>Confirmed particle</w:t>
            </w:r>
          </w:p>
        </w:tc>
        <w:tc>
          <w:tcPr>
            <w:tcW w:type="dxa" w:w="4320"/>
          </w:tcPr>
          <w:p>
            <w:r>
              <w:t>A Stage 2 validated particle after multi channel confirmation.</w:t>
            </w:r>
          </w:p>
        </w:tc>
      </w:tr>
      <w:tr>
        <w:tc>
          <w:tcPr>
            <w:tcW w:type="dxa" w:w="4320"/>
          </w:tcPr>
          <w:p>
            <w:r>
              <w:t>Grain</w:t>
            </w:r>
          </w:p>
        </w:tc>
        <w:tc>
          <w:tcPr>
            <w:tcW w:type="dxa" w:w="4320"/>
          </w:tcPr>
          <w:p>
            <w:r>
              <w:t>A segmented feature returned by Gwyddion grain analysis and not automatically equivalent to a true particle.</w:t>
            </w:r>
          </w:p>
        </w:tc>
      </w:tr>
    </w:tbl>
    <w:p>
      <w:r>
        <w:t>Table 5.1. Core Chapter 5 terminology used throughout the Stage 1 statistical validation framework.</w:t>
      </w:r>
    </w:p>
    <w:p>
      <w:r>
        <w:t>The nominal survey geometry was a 21 x 21 grid of 5 um x 5 um scans collected across a larger fracture surface region measuring 50 um x 50 um. Some grouped sample sets contain fewer scans than the nominal grid would imply because the original inventory was incomplete or because scans were excluded during review. The nominal grid therefore describes the intended acquisition structure, while the exact included scan counts are reported later as results.</w:t>
      </w:r>
    </w:p>
    <w:p>
      <w:r>
        <w:drawing>
          <wp:inline xmlns:a="http://schemas.openxmlformats.org/drawingml/2006/main" xmlns:pic="http://schemas.openxmlformats.org/drawingml/2006/picture">
            <wp:extent cx="5303520" cy="3903391"/>
            <wp:docPr id="1" name="Picture 1"/>
            <wp:cNvGraphicFramePr>
              <a:graphicFrameLocks noChangeAspect="1"/>
            </wp:cNvGraphicFramePr>
            <a:graphic>
              <a:graphicData uri="http://schemas.openxmlformats.org/drawingml/2006/picture">
                <pic:pic>
                  <pic:nvPicPr>
                    <pic:cNvPr id="0" name="Grid Stucutre 21x21 50micrometer^2.png"/>
                    <pic:cNvPicPr/>
                  </pic:nvPicPr>
                  <pic:blipFill>
                    <a:blip r:embed="rId9"/>
                    <a:stretch>
                      <a:fillRect/>
                    </a:stretch>
                  </pic:blipFill>
                  <pic:spPr>
                    <a:xfrm>
                      <a:off x="0" y="0"/>
                      <a:ext cx="5303520" cy="3903391"/>
                    </a:xfrm>
                    <a:prstGeom prst="rect"/>
                  </pic:spPr>
                </pic:pic>
              </a:graphicData>
            </a:graphic>
          </wp:inline>
        </w:drawing>
      </w:r>
    </w:p>
    <w:p>
      <w:r>
        <w:t>Figure 5.1. Nominal Stage 1 survey grid structure used to organize the topography scan inventory before grouped aggregation.</w:t>
      </w:r>
    </w:p>
    <w:p>
      <w:r>
        <w:t>The software environment used to generate the reported Stage 1 outputs consisted of Gwyddion 2.70.20260111 for the core processing environment, Python 2.7.16 for the pygwy based per scan runner, and Python 3.14.2 for aggregation, fitting, plotting, and report generation. Two Python environments were required because the current Windows Gwyddion and pygwy tool chain is tied to Python 2.7, whereas the later analysis and reporting utilities are maintained in Python 3. This software split is therefore a practical compatibility requirement rather than a separate analytical design choice.</w:t>
      </w:r>
    </w:p>
    <w:p>
      <w:r>
        <w:t>Current modulus 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broader cross dataset unit confirmation remains future work.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and role</w:t>
            </w:r>
          </w:p>
        </w:tc>
      </w:tr>
      <w:tr>
        <w:tc>
          <w:tcPr>
            <w:tcW w:type="dxa" w:w="4320"/>
          </w:tcPr>
          <w:p>
            <w:r>
              <w:t>Gwyddion</w:t>
            </w:r>
          </w:p>
        </w:tc>
        <w:tc>
          <w:tcPr>
            <w:tcW w:type="dxa" w:w="4320"/>
          </w:tcPr>
          <w:p>
            <w:r>
              <w:t>2.70.20260111, core processing and grain analysis environment.</w:t>
            </w:r>
          </w:p>
        </w:tc>
      </w:tr>
      <w:tr>
        <w:tc>
          <w:tcPr>
            <w:tcW w:type="dxa" w:w="4320"/>
          </w:tcPr>
          <w:p>
            <w:r>
              <w:t>Python 2</w:t>
            </w:r>
          </w:p>
        </w:tc>
        <w:tc>
          <w:tcPr>
            <w:tcW w:type="dxa" w:w="4320"/>
          </w:tcPr>
          <w:p>
            <w:r>
              <w:t>2.7.16, pygwy based per 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 default python points to Python 2 on this machine, so Python 3 steps are invoked explicitly.</w:t>
            </w:r>
          </w:p>
        </w:tc>
      </w:tr>
    </w:tbl>
    <w:p>
      <w:r>
        <w:t>Table 5.2. Software environment used to generate the Stage 1 processing, fitting, plotting, and reporting outputs.</w:t>
      </w:r>
    </w:p>
    <w:p>
      <w:pPr>
        <w:pStyle w:val="Heading1"/>
      </w:pPr>
      <w:r>
        <w:t>5.2 Particle Detection and Counting</w:t>
      </w:r>
    </w:p>
    <w:p>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 and pygwy so that leveling, line correction, background removal, and grain measurement remain close to the native Gwyddion processing path.</w:t>
      </w:r>
    </w:p>
    <w:p>
      <w:r>
        <w:t>For the current topography particle study, two preprocessing families were used. The median background family applies horizontal row alignment, plane leveling, a second horizontal row alignment, median background removal, and a 3 pixel median filter. The flatten base family uses the same front end alignment and plane leveling steps, but replaces median background removal with flatten base correction before the same 3 pixel median filter.</w:t>
      </w:r>
    </w:p>
    <w:p>
      <w:r>
        <w:t>These two preprocessing families are summarized in Table 5.3. The active job list that applies those families and their threshold rules is given in Table 5.4, while the main default parameters used in the reported Stage 1 workflow are listed in Table 5.5.</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Plane Level, Align Rows, Median background, Median(3)</w:t>
            </w:r>
          </w:p>
        </w:tc>
        <w:tc>
          <w:tcPr>
            <w:tcW w:type="dxa" w:w="2880"/>
          </w:tcPr>
          <w:p>
            <w:r>
              <w:t>Suppress scan line artefacts and remove background using a median based leveling route.</w:t>
            </w:r>
          </w:p>
        </w:tc>
      </w:tr>
      <w:tr>
        <w:tc>
          <w:tcPr>
            <w:tcW w:type="dxa" w:w="2880"/>
          </w:tcPr>
          <w:p>
            <w:r>
              <w:t>Flatten base</w:t>
            </w:r>
          </w:p>
        </w:tc>
        <w:tc>
          <w:tcPr>
            <w:tcW w:type="dxa" w:w="2880"/>
          </w:tcPr>
          <w:p>
            <w:r>
              <w:t>Align Rows, Plane Level, Align Rows, Flatten Base, Median(3)</w:t>
            </w:r>
          </w:p>
        </w:tc>
        <w:tc>
          <w:tcPr>
            <w:tcW w:type="dxa" w:w="2880"/>
          </w:tcPr>
          <w:p>
            <w:r>
              <w:t>Suppress scan line artefacts and remove background using a flatten base route.</w:t>
            </w:r>
          </w:p>
        </w:tc>
      </w:tr>
    </w:tbl>
    <w:p>
      <w:r>
        <w:t>Table 5.3. Preprocessing families used in the Stage 1 particle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p>
      <w:r>
        <w:t>Table 5.4. Active Stage 1 particle jobs and their threshold rules.</w:t>
      </w:r>
    </w:p>
    <w:tbl>
      <w:tblPr>
        <w:tblStyle w:val="TableGrid"/>
        <w:tblW w:type="auto" w:w="0"/>
        <w:tblLook w:firstColumn="1" w:firstRow="1" w:lastColumn="0" w:lastRow="0" w:noHBand="0" w:noVBand="1" w:val="04A0"/>
      </w:tblPr>
      <w:tblGrid>
        <w:gridCol w:w="4320"/>
        <w:gridCol w:w="4320"/>
      </w:tblGrid>
      <w:tr>
        <w:tc>
          <w:tcPr>
            <w:tcW w:type="dxa" w:w="4320"/>
          </w:tcPr>
          <w:p>
            <w:r>
              <w:t>Active default or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 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350 to 550 nm for the current reported Stage 1 particle dataset</w:t>
            </w:r>
          </w:p>
        </w:tc>
      </w:tr>
      <w:tr>
        <w:tc>
          <w:tcPr>
            <w:tcW w:type="dxa" w:w="4320"/>
          </w:tcPr>
          <w:p>
            <w:r>
              <w:t>Isolation distance</w:t>
            </w:r>
          </w:p>
        </w:tc>
        <w:tc>
          <w:tcPr>
            <w:tcW w:type="dxa" w:w="4320"/>
          </w:tcPr>
          <w:p>
            <w:r>
              <w:t>900 nm minimum center to 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 only mask panels retained where configured</w:t>
            </w:r>
          </w:p>
        </w:tc>
      </w:tr>
      <w:tr>
        <w:tc>
          <w:tcPr>
            <w:tcW w:type="dxa" w:w="4320"/>
          </w:tcPr>
          <w:p>
            <w:r>
              <w:t>Grain export</w:t>
            </w:r>
          </w:p>
        </w:tc>
        <w:tc>
          <w:tcPr>
            <w:tcW w:type="dxa" w:w="4320"/>
          </w:tcPr>
          <w:p>
            <w:r>
              <w:t>Enabled with per grain geometric and property quantities</w:t>
            </w:r>
          </w:p>
        </w:tc>
      </w:tr>
    </w:tbl>
    <w:p>
      <w:r>
        <w:t>Table 5.5. Active default parameters used for the reported Stage 1 particle workflow.</w:t>
      </w:r>
    </w:p>
    <w:p>
      <w:r>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after those filters is reported as count_total_filtered. Finally, the retained grains are subjected to the isolation rule, producing count_isolated.</w:t>
      </w:r>
    </w:p>
    <w:p>
      <w:r>
        <w:t>The specific exported Stage 1 variables preserved for later aggregation and modeling are listed in Table 5.6.</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 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for example mean, fixed zero, percentile, or combined maximum.</w:t>
            </w:r>
          </w:p>
        </w:tc>
      </w:tr>
    </w:tbl>
    <w:p>
      <w:r>
        <w:t>Table 5.6. Per scan Stage 1 output fields preserved for later aggregation and statistical modeling.</w:t>
      </w:r>
    </w:p>
    <w:p>
      <w:r>
        <w:t>If an image contains scars, distortion, or other strong artefacts, the current preprocessing route may not fully repair those defects. For the present dataset most images were visually acceptable, but this remains a practical limit of the current processing chain and should be revisited in later workflow improvements.</w:t>
      </w:r>
    </w:p>
    <w:p>
      <w:pPr>
        <w:pStyle w:val="Heading1"/>
      </w:pPr>
      <w:r>
        <w:t>5.3 Particle Diameter Distribution</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2\sqrt{A_{px}/\pi}$</w:t>
      </w:r>
    </w:p>
    <w:p>
      <w:r>
        <w:t>Diameter conversion to nanometers:</w:t>
      </w:r>
    </w:p>
    <w:p>
      <w:r>
        <w:t>$d_{eq,nm} = d_{eq,px}\,p_{nm}$</w:t>
      </w:r>
    </w:p>
    <w:p>
      <w:r>
        <w:t>where A_px is the grain area in pixels and p_nm is the lateral size of one pixel in nanometers. The active diameter band for the current reported Stage 1 particle dataset is 350 to 550 nm.</w:t>
      </w:r>
    </w:p>
    <w:p>
      <w:r>
        <w:t>Equivalent circular diameter is an area based simplification. It gives a practical segmented size measure for the workflow, but it does not prove that the retained grain itself is circular. In the current reported workflow, this effective diameter is the active retained size descriptor. A fuller shape screen, for example by circularity or aspect ratio, would be a future refinement rather than part of the current reported method.</w:t>
      </w:r>
    </w:p>
    <w:p>
      <w:r>
        <w:t>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r>
        <w:t>Edge exclusion is applied after diameter filtering so that grains intersecting the image border are not counted as retained candidates. This matters because a grain clipped by the image edge is only partially observed, which can underestimate its apparent size, distort its center location, and change the apparent spacing to nearby retained candidates.</w:t>
      </w:r>
    </w:p>
    <w:p>
      <w:pPr>
        <w:pStyle w:val="Heading1"/>
      </w:pPr>
      <w:r>
        <w:t>5.4 Isolation Analysis</w:t>
      </w:r>
    </w:p>
    <w:p>
      <w:r>
        <w:t>After the retained candidate particles have been defined, the next question is whether those candidates are far enough apart to support later Stage 2 interrogation. The relevant Stage 1 quantity is therefore the number of retained candidate particles that remain spatially isolated enough to be interrogated individually. Isolation is defined by the minimum center to center distance between each retained candidate and its nearest retained neighbor. This distinction matters because Stage 1 identifies surface features that are plausible particle targets, whereas Stage 2 requires candidates whose local region can be interrogated with minimal interference from adjacent features.</w:t>
      </w:r>
    </w:p>
    <w:p>
      <w:r>
        <w:t>Isolation rule:</w:t>
      </w:r>
    </w:p>
    <w:p>
      <w:r>
        <w:t>$\min(d_{ij}) \geq 900\ \mathrm{nm}$</w:t>
      </w:r>
    </w:p>
    <w:p>
      <w:r>
        <w:t>where d_ij is the center to center distance between retained candidates i and j. A retained candidate is counted as isolated only when its nearest retained neighbor is at least 900 nm away. The purpose of this rule is to reduce the likelihood that neighboring interphase regions or neighboring surface features will influence the later Stage 2 measurement region. In that sense, the rule is a practical isolation criterion informed by the literature rather than a claim that 900 nm is a universal physical cutoff.</w:t>
      </w:r>
    </w:p>
    <w:p>
      <w:r>
        <w:t>The 900 nm spacing rule was retained as the active Stage 1 isolation criterion for the present study. It functions as an operational spacing rule for later Stage 2 targeting rather than as a claim that 900 nm is a unique physical boundary. In practical terms, Stage 1 asks whether the workflow can find enough retained candidates that satisfy this spacing requirement to justify the next measurement stage.</w:t>
      </w:r>
    </w:p>
    <w:p>
      <w:pPr>
        <w:pStyle w:val="Heading1"/>
      </w:pPr>
      <w:r>
        <w:t>5.5 Isolation Probability Model</w:t>
      </w:r>
    </w:p>
    <w:p>
      <w:r>
        <w:t>A count model is needed because Stage 1 is not trying to describe one scan in isolation. The goal is to estimate how scan effort accumulates across many scans and whether the available dataset is large enough to justify a Stage 2 follow on campaign. The isolation probability model provides the bridge from observed isolated candidate counts to a formal scan sufficiency statement. Chapter 2 provides the broader probability background, while this section defines how that logic is used in the present Stage 1 workflow.</w:t>
      </w:r>
    </w:p>
    <w:p>
      <w:r>
        <w:t>The isolated particle count per scan is treated as the primary random variable in the Stage 1 scan sufficiency model. Let X_i denote the isolated particle count in scan i, and let S_n denote the accumulated number of isolated particles obtained after n scans. In the baseline formulation used here, X_i is modeled with a Poisson distribution having mean lambda.</w:t>
      </w:r>
    </w:p>
    <w:p>
      <w:r>
        <w:t>Poisson baseline:</w:t>
      </w:r>
    </w:p>
    <w:p>
      <w:r>
        <w:t>$X_i \sim \mathrm{Poisson}(\lambda)$</w:t>
      </w:r>
    </w:p>
    <w:p>
      <w:r>
        <w:t>$S_n \sim \mathrm{Poisson}(n\lambda)$</w:t>
      </w:r>
    </w:p>
    <w:p>
      <w:r>
        <w:t>The Poisson model is used here as a baseline count model for Stage 1 feasibility, not as a claim that particle occurrence is microscopically ideal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w:t>
      </w:r>
    </w:p>
    <w:p>
      <w:r>
        <w:t>Within this model, the required scan count at 95 percent confidence is the smallest scan total n for which the accumulated isolated candidate count reaches the target threshold with probability at least 0.95.</w:t>
      </w:r>
    </w:p>
    <w:p>
      <w:r>
        <w:t>A simple way to read this is as follows. If the isolated candidate yield per scan is low, then more scans are needed before the cumulative count has a high probability of reaching the target. If the isolated candidate yield per scan is high, then the same target can be reached with fewer scans. For example, a dataset that averages one isolated candidate every few scans will require a much larger scan budget than a dataset that averages several isolated candidates per scan. The probability model therefore translates the observed per scan isolation rate into a practical scan budget.</w:t>
      </w:r>
    </w:p>
    <w:p>
      <w:pPr>
        <w:pStyle w:val="Heading1"/>
      </w:pPr>
      <w:r>
        <w:t>5.6 Processing Route Validation</w:t>
      </w:r>
    </w:p>
    <w:p>
      <w:r>
        <w:t>Processing 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applied to the same underlying particle counting framework.</w:t>
      </w:r>
    </w:p>
    <w:p>
      <w:r>
        <w:t>A second route consistency input came from the prior modulus comparison study,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p>
    <w:p>
      <w:r>
        <w:t>The present thesis therefore treats route validation in two layers. The first is directional consistency from prior modulus comparison work. The second is within topography consistency across the controlled preprocessing and threshold routes defined in the Stage 1 job matrix. The quantitative route comparison outcomes themselves are deferred to Chapter 6.</w:t>
      </w:r>
    </w:p>
    <w:p>
      <w:pPr>
        <w:pStyle w:val="Heading1"/>
      </w:pPr>
      <w:r>
        <w:t>5.7 Stage 1 Decision Statement</w:t>
      </w:r>
    </w:p>
    <w:p>
      <w:r>
        <w:t>The Stage 1 decision rule is as follows. Stage 2 follow on work is justified only when the isolated candidate yield, under the defined processing route and filtering rules, is sufficient to meet the target candidate count at the stated confidence level. If T is the target isolated 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\geq T) \geq q$</w:t>
      </w:r>
    </w:p>
    <w:p>
      <w:r>
        <w:t>In the present work, the central reporting threshold is q = 0.95. That means the Stage 1 rule asks for the smallest number of scans that gives at least 95 percent confidence of obtaining the target number of isolated Stage 1 candidates. The result is therefore confidence based and should not be reduced to the intuition shortcut N/p. That shortcut can still be useful as a rough scaling argument when discussing how a future Stage 2 confirmation fraction would change the required scan effort. For example, if later validation shows that only 20 of the expected 30 isolated candidates become good Stage 2 targets, the same framework can be used to increase the scan count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