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3"/>
        <w:gridCol w:w="2078"/>
        <w:gridCol w:w="1203"/>
        <w:gridCol w:w="4656"/>
        <w:tblGridChange w:id="0">
          <w:tblGrid>
            <w:gridCol w:w="1423"/>
            <w:gridCol w:w="2078"/>
            <w:gridCol w:w="1203"/>
            <w:gridCol w:w="465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geneSet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Ontology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FDR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Variant Genes in Retinoblastoma Tumors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GO:0010390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Histone monoubiquitination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3.43E-12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u w:val="single"/>
                <w:rtl w:val="0"/>
              </w:rPr>
              <w:t xml:space="preserve">BCOR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u w:val="single"/>
                <w:rtl w:val="0"/>
              </w:rPr>
              <w:t xml:space="preserve">(9)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DDB1; RNF20;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PCGF3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GO:0016569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Covalent chromatin modification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1.78E-05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u w:val="single"/>
                <w:rtl w:val="0"/>
              </w:rPr>
              <w:t xml:space="preserve">BCOR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u w:val="single"/>
                <w:rtl w:val="0"/>
              </w:rPr>
              <w:t xml:space="preserve"> (9)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u w:val="single"/>
                <w:rtl w:val="0"/>
              </w:rPr>
              <w:t xml:space="preserve">CREBBP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u w:val="single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 EHMT1; EYA1; HIST1H1E;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u w:val="single"/>
                <w:rtl w:val="0"/>
              </w:rPr>
              <w:t xml:space="preserve">KAT6A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; KDM8;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u w:val="single"/>
                <w:rtl w:val="0"/>
              </w:rPr>
              <w:t xml:space="preserve">NSD1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; PADI4;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u w:val="single"/>
                <w:rtl w:val="0"/>
              </w:rPr>
              <w:t xml:space="preserve">PRKCA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; RNF20;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7"/>
                <w:szCs w:val="17"/>
                <w:rtl w:val="0"/>
              </w:rPr>
              <w:t xml:space="preserve"> DDB1;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PCGF3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GO:0033962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Cytoplasmic mRNA processing body assembly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4.37E-05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PAN2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 (2)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; CNOT1; CNOT2;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DYNC1H1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GO:0022618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Ribonucleoprotein complex assembly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5.19E-05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PAN2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 NAF1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 CNOT1; CNOT2; EIF3E; EIF4B; G3BP1; GEMIN4;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 DYNC1H1; GEMIN8; RPF2; USP4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GO:0022613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Ribonucleoprotein complex biogenesis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4.39E-04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PAN2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 NAF1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7"/>
                <w:szCs w:val="17"/>
                <w:rtl w:val="0"/>
              </w:rPr>
              <w:t xml:space="preserve">(2)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CEBPZ; CNOT1; CNOT2; EIF3E; EIF4B; FCF1; G3BP1; GEMIN4; NOB1;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 DYNC1H1;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GEMIN8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 RPF2; USP4; WBP11; YBEY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GO:0000070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Mitotic sister chromatid segregation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7"/>
                <w:szCs w:val="17"/>
                <w:rtl w:val="0"/>
              </w:rPr>
              <w:t xml:space="preserve">0.105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7"/>
                <w:szCs w:val="17"/>
                <w:rtl w:val="0"/>
              </w:rPr>
              <w:t xml:space="preserve">BOD1; BUB1B; DYNC1LI1; HIRA; INCENP; NUP62; PIBF1; PRC1;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0000"/>
                <w:sz w:val="17"/>
                <w:szCs w:val="17"/>
                <w:rtl w:val="0"/>
              </w:rPr>
              <w:t xml:space="preserve">CDC14B; RAB11A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Table 2. Biological process ontologies over-represented among somatically altered genes in 97 sequenced retinoblastoma tumors.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Bold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recurrently altered (number of recurrences).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non-protein-altering variant. Underlined, genes included in UCSF500. Double underlined,  genes included in UCSF500 and MSK-IMPACT.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Recurrent in WGS/WES: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panels:</w:t>
      </w:r>
    </w:p>
    <w:p w:rsidR="00000000" w:rsidDel="00000000" w:rsidP="00000000" w:rsidRDefault="00000000" w:rsidRPr="00000000" w14:paraId="00000026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BCOR</w:t>
      </w:r>
    </w:p>
    <w:p w:rsidR="00000000" w:rsidDel="00000000" w:rsidP="00000000" w:rsidRDefault="00000000" w:rsidRPr="00000000" w14:paraId="00000027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MYCN</w:t>
      </w:r>
    </w:p>
    <w:p w:rsidR="00000000" w:rsidDel="00000000" w:rsidP="00000000" w:rsidRDefault="00000000" w:rsidRPr="00000000" w14:paraId="00000028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CREBBP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 in panels:</w:t>
      </w:r>
    </w:p>
    <w:p w:rsidR="00000000" w:rsidDel="00000000" w:rsidP="00000000" w:rsidRDefault="00000000" w:rsidRPr="00000000" w14:paraId="0000002B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PAN2</w:t>
      </w:r>
    </w:p>
    <w:p w:rsidR="00000000" w:rsidDel="00000000" w:rsidP="00000000" w:rsidRDefault="00000000" w:rsidRPr="00000000" w14:paraId="0000002C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NAF1</w:t>
      </w:r>
    </w:p>
    <w:p w:rsidR="00000000" w:rsidDel="00000000" w:rsidP="00000000" w:rsidRDefault="00000000" w:rsidRPr="00000000" w14:paraId="0000002D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SAMD9</w:t>
      </w:r>
    </w:p>
    <w:p w:rsidR="00000000" w:rsidDel="00000000" w:rsidP="00000000" w:rsidRDefault="00000000" w:rsidRPr="00000000" w14:paraId="0000002E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HRG</w:t>
      </w:r>
    </w:p>
    <w:p w:rsidR="00000000" w:rsidDel="00000000" w:rsidP="00000000" w:rsidRDefault="00000000" w:rsidRPr="00000000" w14:paraId="0000002F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CLIP2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TextChar" w:customStyle="1">
    <w:name w:val="Comment Text Char"/>
    <w:basedOn w:val="DefaultParagraphFont"/>
    <w:link w:val="CommentText"/>
    <w:uiPriority w:val="99"/>
    <w:qFormat w:val="1"/>
    <w:rsid w:val="00261CA6"/>
    <w:rPr>
      <w:sz w:val="21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7632E"/>
    <w:rPr>
      <w:rFonts w:ascii="Times New Roman" w:cs="Times New Roman" w:hAnsi="Times New Roman"/>
      <w:sz w:val="18"/>
      <w:szCs w:val="18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unhideWhenUsed w:val="1"/>
    <w:qFormat w:val="1"/>
    <w:rsid w:val="00261CA6"/>
    <w:pPr>
      <w:spacing w:after="200"/>
    </w:pPr>
    <w:rPr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7632E"/>
    <w:rPr>
      <w:rFonts w:ascii="Times New Roman" w:cs="Times New Roman" w:hAnsi="Times New Roman"/>
      <w:sz w:val="18"/>
      <w:szCs w:val="18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table" w:styleId="TableGrid">
    <w:name w:val="Table Grid"/>
    <w:basedOn w:val="TableNormal"/>
    <w:uiPriority w:val="39"/>
    <w:rsid w:val="00D763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6sl4pG5DdsU9UmhEBBgZqx32g==">AMUW2mVl+kixuqgdO8oMiVU/CIS/KF+8NSLvYNuvXe5g4HntPgRdoY9Ao6vMYNs5DP5YBblkoZR7IC943AYb1F2KVsum0+wD38uBQXmQV86txpKflv75TVg=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2021-04-06T18:45:00Z</dcterms:created>
  <dc:creator>Cobrinik, David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Childrens Hospital Los Angeles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