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2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667085"/>
          <w:sz w:val="24"/>
          <w:szCs w:val="24"/>
          <w:rtl w:val="0"/>
        </w:rPr>
        <w:t xml:space="preserve">UNIVERSIDAD INDUSTRIAL DE SANTANDER</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1"/>
          <w:bCs w:val="1"/>
          <w:color w:val="2e74b5"/>
          <w:sz w:val="21"/>
          <w:szCs w:val="21"/>
          <w:rtl w:val="0"/>
        </w:rPr>
        <w:t xml:space="preserve">PROPUESTA DE PROYECTO DE GRADO</w:t>
      </w:r>
      <w:r w:rsidDel="00000000" w:rsidR="00000000" w:rsidRPr="00000000">
        <w:rPr>
          <w:rtl w:val="0"/>
        </w:rPr>
      </w:r>
    </w:p>
    <w:p w:rsidR="00000000" w:rsidDel="00000000" w:rsidP="00000000" w:rsidRDefault="00000000" w:rsidRPr="00000000" w14:paraId="00000004">
      <w:pPr>
        <w:pStyle w:val="Heading1"/>
        <w:jc w:val="center"/>
        <w:rPr/>
      </w:pPr>
      <w:r w:rsidDel="00000000" w:rsidR="00000000" w:rsidRPr="00000000">
        <w:rPr>
          <w:rtl w:val="0"/>
        </w:rPr>
        <w:t xml:space="preserve">Diseño de un prototipo de Plataforma IoT para el monitoreo de condiciones de riesgo para cocinas industriales con integración al Smart Campus UIS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600" w:lineRule="auto"/>
        <w:jc w:val="center"/>
        <w:rPr>
          <w:i w:val="1"/>
          <w:iCs w:val="1"/>
          <w:color w:val="667085"/>
          <w:sz w:val="24"/>
          <w:szCs w:val="24"/>
        </w:rPr>
      </w:pPr>
      <w:r w:rsidDel="00000000" w:rsidR="00000000" w:rsidRPr="00000000">
        <w:rPr>
          <w:i w:val="1"/>
          <w:iCs w:val="1"/>
          <w:color w:val="667085"/>
          <w:sz w:val="24"/>
          <w:szCs w:val="24"/>
          <w:rtl w:val="0"/>
        </w:rPr>
        <w:t xml:space="preserve">Nodo físico y simulación de múltiples cocinas mediante datos JSON</w:t>
      </w:r>
    </w:p>
    <w:p w:rsidR="00000000" w:rsidDel="00000000" w:rsidP="00000000" w:rsidRDefault="00000000" w:rsidRPr="00000000" w14:paraId="00000007">
      <w:pPr>
        <w:spacing w:after="600" w:lineRule="auto"/>
        <w:jc w:val="center"/>
        <w:rPr/>
      </w:pPr>
      <w:r w:rsidDel="00000000" w:rsidR="00000000" w:rsidRPr="00000000">
        <w:rPr>
          <w:rtl w:val="0"/>
        </w:rPr>
      </w:r>
    </w:p>
    <w:tbl>
      <w:tblPr>
        <w:tblStyle w:val="Table1"/>
        <w:tblW w:w="936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1"/>
        </w:trPr>
        <w:tc>
          <w:tcPr>
            <w:shd w:fill="f4f6f9" w:val="clear"/>
            <w:tcMar>
              <w:top w:w="150.0" w:type="dxa"/>
              <w:left w:w="180.0" w:type="dxa"/>
              <w:bottom w:w="150.0" w:type="dxa"/>
              <w:right w:w="180.0" w:type="dxa"/>
            </w:tcMar>
            <w:vAlign w:val="center"/>
          </w:tcPr>
          <w:p w:rsidR="00000000" w:rsidDel="00000000" w:rsidP="00000000" w:rsidRDefault="00000000" w:rsidRPr="00000000" w14:paraId="00000008">
            <w:pPr>
              <w:jc w:val="center"/>
              <w:rPr/>
            </w:pPr>
            <w:r w:rsidDel="00000000" w:rsidR="00000000" w:rsidRPr="00000000">
              <w:rPr>
                <w:b w:val="1"/>
                <w:bCs w:val="1"/>
                <w:color w:val="2e74b5"/>
                <w:sz w:val="18"/>
                <w:szCs w:val="18"/>
                <w:rtl w:val="0"/>
              </w:rPr>
              <w:t xml:space="preserve">AUTORES</w:t>
            </w:r>
            <w:r w:rsidDel="00000000" w:rsidR="00000000" w:rsidRPr="00000000">
              <w:rPr>
                <w:rtl w:val="0"/>
              </w:rPr>
            </w:r>
          </w:p>
          <w:p w:rsidR="00000000" w:rsidDel="00000000" w:rsidP="00000000" w:rsidRDefault="00000000" w:rsidRPr="00000000" w14:paraId="00000009">
            <w:pPr>
              <w:spacing w:after="20" w:lineRule="auto"/>
              <w:jc w:val="center"/>
              <w:rPr/>
            </w:pPr>
            <w:r w:rsidDel="00000000" w:rsidR="00000000" w:rsidRPr="00000000">
              <w:rPr>
                <w:b w:val="1"/>
                <w:bCs w:val="1"/>
                <w:sz w:val="20"/>
                <w:szCs w:val="20"/>
                <w:rtl w:val="0"/>
              </w:rPr>
              <w:t xml:space="preserve">Cesar Daniel Avila Barbosa</w:t>
            </w:r>
            <w:r w:rsidDel="00000000" w:rsidR="00000000" w:rsidRPr="00000000">
              <w:rPr>
                <w:rtl w:val="0"/>
              </w:rPr>
            </w:r>
          </w:p>
          <w:p w:rsidR="00000000" w:rsidDel="00000000" w:rsidP="00000000" w:rsidRDefault="00000000" w:rsidRPr="00000000" w14:paraId="0000000A">
            <w:pPr>
              <w:spacing w:after="20" w:lineRule="auto"/>
              <w:jc w:val="center"/>
              <w:rPr/>
            </w:pPr>
            <w:r w:rsidDel="00000000" w:rsidR="00000000" w:rsidRPr="00000000">
              <w:rPr>
                <w:color w:val="667085"/>
                <w:sz w:val="18"/>
                <w:szCs w:val="18"/>
                <w:rtl w:val="0"/>
              </w:rPr>
              <w:t xml:space="preserve">Código 2224642</w:t>
            </w:r>
            <w:r w:rsidDel="00000000" w:rsidR="00000000" w:rsidRPr="00000000">
              <w:rPr>
                <w:rtl w:val="0"/>
              </w:rPr>
            </w:r>
          </w:p>
        </w:tc>
        <w:tc>
          <w:tcPr>
            <w:shd w:fill="f4f6f9" w:val="clear"/>
            <w:tcMar>
              <w:top w:w="150.0" w:type="dxa"/>
              <w:left w:w="180.0" w:type="dxa"/>
              <w:bottom w:w="150.0" w:type="dxa"/>
              <w:right w:w="180.0" w:type="dxa"/>
            </w:tcMar>
            <w:vAlign w:val="center"/>
          </w:tcPr>
          <w:p w:rsidR="00000000" w:rsidDel="00000000" w:rsidP="00000000" w:rsidRDefault="00000000" w:rsidRPr="00000000" w14:paraId="0000000B">
            <w:pPr>
              <w:jc w:val="center"/>
              <w:rPr/>
            </w:pPr>
            <w:r w:rsidDel="00000000" w:rsidR="00000000" w:rsidRPr="00000000">
              <w:rPr>
                <w:b w:val="1"/>
                <w:bCs w:val="1"/>
                <w:color w:val="2e74b5"/>
                <w:sz w:val="18"/>
                <w:szCs w:val="18"/>
                <w:rtl w:val="0"/>
              </w:rPr>
              <w:t xml:space="preserve">ALCANCE PROPUESTO</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b w:val="1"/>
                <w:bCs w:val="1"/>
                <w:sz w:val="20"/>
                <w:szCs w:val="20"/>
                <w:rtl w:val="0"/>
              </w:rPr>
              <w:t xml:space="preserve">Nodo físico con ESP32</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sz w:val="20"/>
                <w:szCs w:val="20"/>
                <w:rtl w:val="0"/>
              </w:rPr>
              <w:t xml:space="preserve">Cocinas virtuales</w:t>
            </w:r>
            <w:r w:rsidDel="00000000" w:rsidR="00000000" w:rsidRPr="00000000">
              <w:rPr>
                <w:rtl w:val="0"/>
              </w:rPr>
            </w:r>
          </w:p>
          <w:p w:rsidR="00000000" w:rsidDel="00000000" w:rsidP="00000000" w:rsidRDefault="00000000" w:rsidRPr="00000000" w14:paraId="0000000E">
            <w:pPr>
              <w:spacing w:after="60" w:lineRule="auto"/>
              <w:jc w:val="center"/>
              <w:rPr/>
            </w:pPr>
            <w:r w:rsidDel="00000000" w:rsidR="00000000" w:rsidRPr="00000000">
              <w:rPr>
                <w:sz w:val="20"/>
                <w:szCs w:val="20"/>
                <w:rtl w:val="0"/>
              </w:rPr>
              <w:t xml:space="preserve">Integración Smart Campus UIS</w:t>
            </w:r>
            <w:r w:rsidDel="00000000" w:rsidR="00000000" w:rsidRPr="00000000">
              <w:rPr>
                <w:rtl w:val="0"/>
              </w:rPr>
            </w:r>
          </w:p>
          <w:p w:rsidR="00000000" w:rsidDel="00000000" w:rsidP="00000000" w:rsidRDefault="00000000" w:rsidRPr="00000000" w14:paraId="0000000F">
            <w:pPr>
              <w:spacing w:after="60" w:lineRule="auto"/>
              <w:jc w:val="center"/>
              <w:rPr>
                <w:sz w:val="20"/>
                <w:szCs w:val="20"/>
              </w:rPr>
            </w:pPr>
            <w:r w:rsidDel="00000000" w:rsidR="00000000" w:rsidRPr="00000000">
              <w:rPr>
                <w:sz w:val="20"/>
                <w:szCs w:val="20"/>
                <w:rtl w:val="0"/>
              </w:rPr>
              <w:t xml:space="preserve">Validación experimental</w:t>
            </w:r>
          </w:p>
          <w:p w:rsidR="00000000" w:rsidDel="00000000" w:rsidP="00000000" w:rsidRDefault="00000000" w:rsidRPr="00000000" w14:paraId="00000010">
            <w:pPr>
              <w:spacing w:after="60" w:lineRule="auto"/>
              <w:jc w:val="center"/>
              <w:rPr/>
            </w:pPr>
            <w:r w:rsidDel="00000000" w:rsidR="00000000" w:rsidRPr="00000000">
              <w:rPr>
                <w:sz w:val="20"/>
                <w:szCs w:val="20"/>
                <w:rtl w:val="0"/>
              </w:rPr>
              <w:t xml:space="preserve">Aplicativo movil apk</w:t>
            </w:r>
            <w:r w:rsidDel="00000000" w:rsidR="00000000" w:rsidRPr="00000000">
              <w:rPr>
                <w:rtl w:val="0"/>
              </w:rPr>
            </w:r>
          </w:p>
        </w:tc>
      </w:tr>
    </w:tbl>
    <w:p w:rsidR="00000000" w:rsidDel="00000000" w:rsidP="00000000" w:rsidRDefault="00000000" w:rsidRPr="00000000" w14:paraId="00000011">
      <w:pPr>
        <w:spacing w:after="0" w:before="880" w:lineRule="auto"/>
        <w:jc w:val="center"/>
        <w:rPr>
          <w:b w:val="1"/>
          <w:bCs w:val="1"/>
          <w:color w:val="667085"/>
          <w:sz w:val="21"/>
          <w:szCs w:val="21"/>
        </w:rPr>
      </w:pPr>
      <w:r w:rsidDel="00000000" w:rsidR="00000000" w:rsidRPr="00000000">
        <w:rPr>
          <w:rtl w:val="0"/>
        </w:rPr>
      </w:r>
    </w:p>
    <w:p w:rsidR="00000000" w:rsidDel="00000000" w:rsidP="00000000" w:rsidRDefault="00000000" w:rsidRPr="00000000" w14:paraId="00000012">
      <w:pPr>
        <w:spacing w:after="0" w:before="880" w:lineRule="auto"/>
        <w:jc w:val="center"/>
        <w:rPr>
          <w:b w:val="1"/>
          <w:bCs w:val="1"/>
          <w:color w:val="667085"/>
          <w:sz w:val="21"/>
          <w:szCs w:val="21"/>
        </w:rPr>
      </w:pPr>
      <w:r w:rsidDel="00000000" w:rsidR="00000000" w:rsidRPr="00000000">
        <w:rPr>
          <w:rtl w:val="0"/>
        </w:rPr>
      </w:r>
    </w:p>
    <w:p w:rsidR="00000000" w:rsidDel="00000000" w:rsidP="00000000" w:rsidRDefault="00000000" w:rsidRPr="00000000" w14:paraId="00000013">
      <w:pPr>
        <w:spacing w:after="0" w:before="880" w:lineRule="auto"/>
        <w:jc w:val="center"/>
        <w:rPr>
          <w:b w:val="1"/>
          <w:bCs w:val="1"/>
          <w:color w:val="667085"/>
          <w:sz w:val="21"/>
          <w:szCs w:val="21"/>
        </w:rPr>
      </w:pPr>
      <w:r w:rsidDel="00000000" w:rsidR="00000000" w:rsidRPr="00000000">
        <w:rPr>
          <w:rtl w:val="0"/>
        </w:rPr>
      </w:r>
    </w:p>
    <w:p w:rsidR="00000000" w:rsidDel="00000000" w:rsidP="00000000" w:rsidRDefault="00000000" w:rsidRPr="00000000" w14:paraId="00000014">
      <w:pPr>
        <w:spacing w:after="0" w:before="880" w:lineRule="auto"/>
        <w:jc w:val="center"/>
        <w:rPr/>
      </w:pPr>
      <w:r w:rsidDel="00000000" w:rsidR="00000000" w:rsidRPr="00000000">
        <w:rPr>
          <w:b w:val="1"/>
          <w:bCs w:val="1"/>
          <w:color w:val="667085"/>
          <w:sz w:val="21"/>
          <w:szCs w:val="21"/>
          <w:rtl w:val="0"/>
        </w:rPr>
        <w:t xml:space="preserve">Bucaramanga, Colombia · 2026</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Formulación del problema</w:t>
      </w:r>
    </w:p>
    <w:p w:rsidR="00000000" w:rsidDel="00000000" w:rsidP="00000000" w:rsidRDefault="00000000" w:rsidRPr="00000000" w14:paraId="00000017">
      <w:pPr>
        <w:rPr/>
      </w:pPr>
      <w:r w:rsidDel="00000000" w:rsidR="00000000" w:rsidRPr="00000000">
        <w:rPr>
          <w:rtl w:val="0"/>
        </w:rPr>
        <w:br w:type="textWrapping"/>
        <w:t xml:space="preserve">Las cocinas industriales que emplean gas combustible concentran, en un mismo espacio, fuentes de calor, llamas abiertas, equipos eléctricos, superficies calientes, sistemas de extracción y materiales combustibles como aceites y grasas. Esta convergencia hace posible que una condición inicialmente controlable —por ejemplo, una fuga, un sobrecalentamiento o una falla eléctrica— evolucione a un incendio si no se identifica y atiende oportunamente.</w:t>
      </w:r>
    </w:p>
    <w:p w:rsidR="00000000" w:rsidDel="00000000" w:rsidP="00000000" w:rsidRDefault="00000000" w:rsidRPr="00000000" w14:paraId="00000018">
      <w:pPr>
        <w:rPr/>
      </w:pPr>
      <w:r w:rsidDel="00000000" w:rsidR="00000000" w:rsidRPr="00000000">
        <w:rPr>
          <w:rtl w:val="0"/>
        </w:rPr>
        <w:t xml:space="preserve">Como referencia internacional, la U.S. Fire Administration (s. f.) estimó 33.300 incendios relacionados con actividades de cocina en edificaciones no residenciales durante 2023 y reportó un incremento del 13 % entre 2014 y 2023.</w:t>
      </w:r>
    </w:p>
    <w:p w:rsidR="00000000" w:rsidDel="00000000" w:rsidP="00000000" w:rsidRDefault="00000000" w:rsidRPr="00000000" w14:paraId="00000019">
      <w:pPr>
        <w:rPr/>
      </w:pPr>
      <w:r w:rsidDel="00000000" w:rsidR="00000000" w:rsidRPr="00000000">
        <w:rPr>
          <w:rtl w:val="0"/>
        </w:rPr>
        <w:t xml:space="preserve">Por su parte, la National Fire Protection Association encontró que el 61 % de los incendios estructurales ocurridos en establecimientos de comidas y bebidas entre 2010 y 2014 involucró equipos de cocina; la falta de limpieza fue un factor asociado en el 22 % de los eventos (Campbell, 2017). Estas cifras no deben extrapolarse directamente a Colombia, pero ayudan a identificar factores técnicos relevantes para el diseño del prototipo.</w:t>
      </w:r>
    </w:p>
    <w:p w:rsidR="00000000" w:rsidDel="00000000" w:rsidP="00000000" w:rsidRDefault="00000000" w:rsidRPr="00000000" w14:paraId="0000001A">
      <w:pPr>
        <w:rPr/>
      </w:pPr>
      <w:r w:rsidDel="00000000" w:rsidR="00000000" w:rsidRPr="00000000">
        <w:rPr>
          <w:rtl w:val="0"/>
        </w:rPr>
        <w:t xml:space="preserve">Los incendios relacionados con cocinas pueden originarse cuando coinciden combustible, oxígeno y una fuente de ignición. Entre los factores que favorecen esta coincidencia se encuentran las fugas en conexiones o mangueras, la acumulación de gas en zonas con poca ventilación, las llamas abiertas, las superficies sobrecalentadas, las fallas eléctricas, la acumulación de grasa en campanas y ductos, el mantenimiento insuficiente y la demora en reconocer una condición anormal.</w:t>
      </w:r>
    </w:p>
    <w:p w:rsidR="00000000" w:rsidDel="00000000" w:rsidP="00000000" w:rsidRDefault="00000000" w:rsidRPr="00000000" w14:paraId="0000001B">
      <w:pPr>
        <w:rPr/>
      </w:pPr>
      <w:r w:rsidDel="00000000" w:rsidR="00000000" w:rsidRPr="00000000">
        <w:rPr>
          <w:rtl w:val="0"/>
        </w:rPr>
        <w:t xml:space="preserve">Bomberos Bogotá advierte que la grasa acumulada puede encenderse al entrar en contacto con una chispa o una fuente de calor y que la obstrucción de ductos puede favorecer emergencias por humo a alta temperatura (Unidad Administrativa Especial Cuerpo Oficial de Bomberos de Bogotá [UAECOB], s. f.).</w:t>
      </w:r>
    </w:p>
    <w:p w:rsidR="00000000" w:rsidDel="00000000" w:rsidP="00000000" w:rsidRDefault="00000000" w:rsidRPr="00000000" w14:paraId="0000001C">
      <w:pPr>
        <w:rPr/>
      </w:pPr>
      <w:r w:rsidDel="00000000" w:rsidR="00000000" w:rsidRPr="00000000">
        <w:rPr>
          <w:rtl w:val="0"/>
        </w:rPr>
        <w:t xml:space="preserve">También existen antecedentes directamente vinculados con establecimientos de preparación de alimentos. En mayo de 2019, un incendio en un restaurante de Bucaramanga fue atribuido al recalentamiento del extractor de la cocina; la emergencia requirió la intervención de once unidades bomberiles y dejó un trabajador con quemaduras de segundo grado (Vanguardia, 2019). Este caso muestra que el riesgo no depende únicamente de una fuga de gas: el sobrecalentamiento, la grasa y los sistemas de extracción también pueden participar en el inicio o la propagación del fuego.</w:t>
      </w:r>
    </w:p>
    <w:p w:rsidR="00000000" w:rsidDel="00000000" w:rsidP="00000000" w:rsidRDefault="00000000" w:rsidRPr="00000000" w14:paraId="0000001D">
      <w:pPr>
        <w:rPr/>
      </w:pPr>
      <w:r w:rsidDel="00000000" w:rsidR="00000000" w:rsidRPr="00000000">
        <w:rPr>
          <w:rtl w:val="0"/>
        </w:rPr>
        <w:t xml:space="preserve">El problema también debe considerarse dentro del marco técnico colombiano. La Resolución 90902 de 2013 regula las instalaciones internas de gas; el RETIE, modificado mediante la Resolución 40284 de 2026, establece requisitos de seguridad eléctrica; el Título J de la NSR-10 aborda la protección contra incendios; y la Resolución 2400 de 1979 contempla la prevención de incendios y explosiones en los lugares de trabajo. Aunque estas normas no exigen ni certifican el prototipo, respaldan la necesidad de controlar los riesgos asociados al gas, la electricidad y el fuego (Comisión Asesora Permanente para el Régimen de Construcciones Sismo Resistentes, 2010; Ministerio de Minas y Energía, 2013, 2026; Ministerio de Trabajo y Seguridad Social, 1979).3</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Delimitaciones y alcance</w:t>
      </w:r>
    </w:p>
    <w:p w:rsidR="00000000" w:rsidDel="00000000" w:rsidP="00000000" w:rsidRDefault="00000000" w:rsidRPr="00000000" w14:paraId="00000020">
      <w:pPr>
        <w:rPr/>
      </w:pPr>
      <w:r w:rsidDel="00000000" w:rsidR="00000000" w:rsidRPr="00000000">
        <w:rPr>
          <w:rtl w:val="0"/>
        </w:rPr>
        <w:t xml:space="preserve">Debido a la imposibilidad de construir una maqueta física para representar cada uno de los escenarios de cocina contemplados, se generarán cocinas virtuales que transmitirán datos sintéticos. Con cantidades crecientes de cocinas y mensajes que validarán la recepción, la latencia, la pérdida y la recuperación de la comunicación con Smart Campus UIS, sin presentar la simulación como mediciones reales y dentro de los límites autorizados.</w:t>
      </w:r>
    </w:p>
    <w:p w:rsidR="00000000" w:rsidDel="00000000" w:rsidP="00000000" w:rsidRDefault="00000000" w:rsidRPr="00000000" w14:paraId="00000021">
      <w:pPr>
        <w:rPr/>
      </w:pPr>
      <w:r w:rsidDel="00000000" w:rsidR="00000000" w:rsidRPr="00000000">
        <w:rPr>
          <w:rtl w:val="0"/>
        </w:rPr>
        <w:t xml:space="preserve">En este contexto, se evaluará si integrar mediciones de GLP, temperatura y llama permite reconocer y comunicar condiciones anómalas de forma repetible. El enfoque multisensorial facilitará relacionar las señales provenientes de los diferentes sensores y registrar los eventos detectados, pero su posible efecto sobre la reducción de falsas alarmas deberá comprobarse mediante pruebas controladas.</w:t>
      </w:r>
    </w:p>
    <w:p w:rsidR="00000000" w:rsidDel="00000000" w:rsidP="00000000" w:rsidRDefault="00000000" w:rsidRPr="00000000" w14:paraId="00000022">
      <w:pPr>
        <w:rPr/>
      </w:pPr>
      <w:r w:rsidDel="00000000" w:rsidR="00000000" w:rsidRPr="00000000">
        <w:rPr>
          <w:rtl w:val="0"/>
        </w:rPr>
        <w:t xml:space="preserve">Por lo anterior, se propone un prototipo IoT basado en ESP32, adecuado para adquirir, procesar y comunicar señales, que integre sensores de GLP, temperatura y llama, clasificación de riesgo, alarmas, ventilación de prueba y datos de cocinas virtuales.</w:t>
      </w:r>
    </w:p>
    <w:p w:rsidR="00000000" w:rsidDel="00000000" w:rsidP="00000000" w:rsidRDefault="00000000" w:rsidRPr="00000000" w14:paraId="00000023">
      <w:pPr>
        <w:rPr/>
      </w:pPr>
      <w:r w:rsidDel="00000000" w:rsidR="00000000" w:rsidRPr="00000000">
        <w:rPr>
          <w:rtl w:val="0"/>
        </w:rPr>
        <w:t xml:space="preserve">En términos académicos, el proyecto articulará instrumentación, sistemas embebidos, comunicaciones IoT y validación, para producir una arquitectura documentada y evidencia medible. No será un sistema certificado ni sustituirá los equipos de seguridad exigidos; una implementación real requeriría componentes certificados, calibración, mantenimiento y cumplimiento normativo.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Pregunta Investigación </w:t>
      </w:r>
    </w:p>
    <w:p w:rsidR="00000000" w:rsidDel="00000000" w:rsidP="00000000" w:rsidRDefault="00000000" w:rsidRPr="00000000" w14:paraId="00000026">
      <w:pPr>
        <w:rPr/>
      </w:pPr>
      <w:r w:rsidDel="00000000" w:rsidR="00000000" w:rsidRPr="00000000">
        <w:rPr>
          <w:rtl w:val="0"/>
        </w:rPr>
        <w:t xml:space="preserve">¿De qué manera una plataforma IoT pueda ayudar con el monitoreo y detección de alarmas en los sistemas de cocinas industriales y así minimizar el tiempo de respuesta ante algún incidente?</w:t>
      </w:r>
    </w:p>
    <w:p w:rsidR="00000000" w:rsidDel="00000000" w:rsidP="00000000" w:rsidRDefault="00000000" w:rsidRPr="00000000" w14:paraId="00000027">
      <w:pPr>
        <w:pStyle w:val="Heading1"/>
        <w:rPr/>
      </w:pPr>
      <w:r w:rsidDel="00000000" w:rsidR="00000000" w:rsidRPr="00000000">
        <w:rPr>
          <w:rtl w:val="0"/>
        </w:rPr>
        <w:t xml:space="preserve">Objetivos</w:t>
      </w:r>
    </w:p>
    <w:p w:rsidR="00000000" w:rsidDel="00000000" w:rsidP="00000000" w:rsidRDefault="00000000" w:rsidRPr="00000000" w14:paraId="00000028">
      <w:pPr>
        <w:pStyle w:val="Heading2"/>
        <w:rPr/>
      </w:pPr>
      <w:r w:rsidDel="00000000" w:rsidR="00000000" w:rsidRPr="00000000">
        <w:rPr>
          <w:rtl w:val="0"/>
        </w:rPr>
        <w:t xml:space="preserve">Objetivo general</w:t>
      </w:r>
    </w:p>
    <w:p w:rsidR="00000000" w:rsidDel="00000000" w:rsidP="00000000" w:rsidRDefault="00000000" w:rsidRPr="00000000" w14:paraId="00000029">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Desarrollar un prototipo IoT sobre la plataforma Smart Campus UIS para el monitoreo de variables de riesgo, como temperatura, concentración de GLP y presencia de llama, con el fin de identificar posibles riesgos en cocinas industriales ubicadas en entornos cerrados.</w:t>
      </w:r>
    </w:p>
    <w:p w:rsidR="00000000" w:rsidDel="00000000" w:rsidP="00000000" w:rsidRDefault="00000000" w:rsidRPr="00000000" w14:paraId="0000002A">
      <w:pPr>
        <w:pStyle w:val="Heading2"/>
        <w:rPr/>
      </w:pPr>
      <w:r w:rsidDel="00000000" w:rsidR="00000000" w:rsidRPr="00000000">
        <w:rPr>
          <w:rtl w:val="0"/>
        </w:rPr>
        <w:t xml:space="preserve">Objetivos específicos</w:t>
      </w:r>
    </w:p>
    <w:p w:rsidR="00000000" w:rsidDel="00000000" w:rsidP="00000000" w:rsidRDefault="00000000" w:rsidRPr="00000000" w14:paraId="0000002B">
      <w:pPr>
        <w:numPr>
          <w:ilvl w:val="0"/>
          <w:numId w:val="1"/>
        </w:numPr>
        <w:ind w:left="540" w:hanging="280"/>
        <w:rPr/>
      </w:pPr>
      <w:r w:rsidDel="00000000" w:rsidR="00000000" w:rsidRPr="00000000">
        <w:rPr>
          <w:rtl w:val="0"/>
        </w:rPr>
        <w:t xml:space="preserve">Analizar los referentes tecnológicos, técnicos y requerimientos establecidos para la detección de gas, temperatura y llama en cocinas industriales.</w:t>
      </w:r>
    </w:p>
    <w:p w:rsidR="00000000" w:rsidDel="00000000" w:rsidP="00000000" w:rsidRDefault="00000000" w:rsidRPr="00000000" w14:paraId="0000002C">
      <w:pPr>
        <w:numPr>
          <w:ilvl w:val="0"/>
          <w:numId w:val="1"/>
        </w:numPr>
        <w:ind w:left="540" w:hanging="280"/>
        <w:rPr/>
      </w:pPr>
      <w:r w:rsidDel="00000000" w:rsidR="00000000" w:rsidRPr="00000000">
        <w:rPr>
          <w:rtl w:val="0"/>
        </w:rPr>
        <w:t xml:space="preserve">Definir los escenarios de operación con el motivo de encontrar los niveles de riesgo , el modelo de datos asociado, y las respuestas esperadas del sistema, incluyendo la notificación a personas responsables.</w:t>
      </w:r>
    </w:p>
    <w:p w:rsidR="00000000" w:rsidDel="00000000" w:rsidP="00000000" w:rsidRDefault="00000000" w:rsidRPr="00000000" w14:paraId="0000002D">
      <w:pPr>
        <w:numPr>
          <w:ilvl w:val="0"/>
          <w:numId w:val="1"/>
        </w:numPr>
        <w:ind w:left="540" w:hanging="280"/>
        <w:rPr/>
      </w:pPr>
      <w:r w:rsidDel="00000000" w:rsidR="00000000" w:rsidRPr="00000000">
        <w:rPr>
          <w:rtl w:val="0"/>
        </w:rPr>
        <w:t xml:space="preserve">Diseñar la arquitectura de software e infraestructura que integre el nodo físico, el backend de procesamiento, la aplicación móvil de notificación y el generador de cocinas virtuales.</w:t>
      </w:r>
    </w:p>
    <w:p w:rsidR="00000000" w:rsidDel="00000000" w:rsidP="00000000" w:rsidRDefault="00000000" w:rsidRPr="00000000" w14:paraId="0000002E">
      <w:pPr>
        <w:numPr>
          <w:ilvl w:val="0"/>
          <w:numId w:val="1"/>
        </w:numPr>
        <w:ind w:left="540" w:hanging="280"/>
        <w:rPr/>
      </w:pPr>
      <w:r w:rsidDel="00000000" w:rsidR="00000000" w:rsidRPr="00000000">
        <w:rPr>
          <w:rtl w:val="0"/>
        </w:rPr>
        <w:t xml:space="preserve">Implementar el prototipo físico con sensores de GLP, temperatura y llama, alarmas locales y un módulo de ventilación de prueba.</w:t>
      </w:r>
    </w:p>
    <w:p w:rsidR="00000000" w:rsidDel="00000000" w:rsidP="00000000" w:rsidRDefault="00000000" w:rsidRPr="00000000" w14:paraId="0000002F">
      <w:pPr>
        <w:numPr>
          <w:ilvl w:val="0"/>
          <w:numId w:val="1"/>
        </w:numPr>
        <w:ind w:left="540" w:hanging="280"/>
        <w:rPr>
          <w:b w:val="1"/>
          <w:bCs w:val="1"/>
        </w:rPr>
      </w:pPr>
      <w:r w:rsidDel="00000000" w:rsidR="00000000" w:rsidRPr="00000000">
        <w:rPr>
          <w:rtl w:val="0"/>
        </w:rPr>
        <w:t xml:space="preserve">Validar</w:t>
      </w:r>
      <w:r w:rsidDel="00000000" w:rsidR="00000000" w:rsidRPr="00000000">
        <w:rPr>
          <w:b w:val="1"/>
          <w:bCs w:val="1"/>
          <w:rtl w:val="0"/>
        </w:rPr>
        <w:t xml:space="preserve"> </w:t>
      </w:r>
      <w:r w:rsidDel="00000000" w:rsidR="00000000" w:rsidRPr="00000000">
        <w:rPr>
          <w:rtl w:val="0"/>
        </w:rPr>
        <w:t xml:space="preserve">mediante pruebas controladas el funcionamiento de hardware, software y Smart campus UIS</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Justificación</w:t>
      </w:r>
    </w:p>
    <w:p w:rsidR="00000000" w:rsidDel="00000000" w:rsidP="00000000" w:rsidRDefault="00000000" w:rsidRPr="00000000" w14:paraId="00000031">
      <w:pPr>
        <w:rPr/>
      </w:pPr>
      <w:r w:rsidDel="00000000" w:rsidR="00000000" w:rsidRPr="00000000">
        <w:rPr>
          <w:rtl w:val="0"/>
        </w:rPr>
        <w:t xml:space="preserve">La pertinencia del proyecto se sustenta en una situación técnica verificable: las cocinas industriales reúnen fuentes de combustible, calor e ignición, y los antecedentes nacionales muestran que las fallas eléctricas, las superficies calientes, las llamas abiertas y el mantenimiento deficiente intervienen en incendios de edificaciones industriales y comerciales. La detección temprana no elimina estos peligros, pero puede reducir el intervalo entre la aparición de una condición anómala y su comunicación al usuario.</w:t>
      </w:r>
    </w:p>
    <w:p w:rsidR="00000000" w:rsidDel="00000000" w:rsidP="00000000" w:rsidRDefault="00000000" w:rsidRPr="00000000" w14:paraId="00000032">
      <w:pPr>
        <w:rPr/>
      </w:pPr>
      <w:r w:rsidDel="00000000" w:rsidR="00000000" w:rsidRPr="00000000">
        <w:rPr>
          <w:rtl w:val="0"/>
        </w:rPr>
        <w:t xml:space="preserve">En Colombia, las condiciones de seguridad de las instalaciones asociadas a cocinas industriales se encuentran relacionadas con diferentes reglamentos y disposiciones técnicas. La Resolución 90902 de 2013 establece el Reglamento Técnico de Instalaciones Internas de Gas Combustible y contempla requisitos técnicos para este tipo de instalaciones en edificaciones residenciales, comerciales e industriales, orientados a garantizar condiciones adecuadas de seguridad en el uso del gas combustible. Por su parte, el Reglamento Técnico de Instalaciones Eléctricas (RETIE), modificado mediante la Resolución 40284 de 2026, establece requisitos de seguridad para el diseño y ejecución de las instalaciones eléctricas, así como para los productos y componentes que hacen parte de ellas. Adicionalmente, el Título J de la NSR-10 establece requisitos de protección contra incendios en las edificaciones, mientras que la Resolución 2400 de 1979 contempla medidas de prevención frente a incendios y explosiones en los establecimientos de trabajo, incluyendo condiciones orientadas al control de fuentes de ignición y a la disponibilidad de medios para la detección y atención de incendios. En conjunto, estas disposiciones evidencian que la operación segura de una cocina industrial requiere controlar los riesgos asociados al gas, la electricidad, las fuentes de calor y la ocurrencia de incendios, lo que proporciona un marco normativo pertinente para sustentar el desarrollo de una solución experimental de monitoreo y alerta temprana.</w:t>
      </w:r>
    </w:p>
    <w:p w:rsidR="00000000" w:rsidDel="00000000" w:rsidP="00000000" w:rsidRDefault="00000000" w:rsidRPr="00000000" w14:paraId="00000033">
      <w:pPr>
        <w:rPr/>
      </w:pPr>
      <w:r w:rsidDel="00000000" w:rsidR="00000000" w:rsidRPr="00000000">
        <w:rPr>
          <w:rtl w:val="0"/>
        </w:rPr>
        <w:t xml:space="preserve">Desde el punto de vista tecnológico, la integración de varias variables en una misma arquitectura permite estudiar relaciones que un detector aislado no representa. El prototipo no asumirá que la combinación multisensor reduce por sí sola las falsas alarmas; esa será una hipótesis de diseño que deberá comprobarse experimentalmente. La plataforma IoT, además, facilitará el registro de datos y eventos, lo que permitirá analizar el comportamiento del sistema y documentar sus limitaciones.</w:t>
      </w:r>
    </w:p>
    <w:p w:rsidR="00000000" w:rsidDel="00000000" w:rsidP="00000000" w:rsidRDefault="00000000" w:rsidRPr="00000000" w14:paraId="00000034">
      <w:pPr>
        <w:rPr/>
      </w:pPr>
      <w:r w:rsidDel="00000000" w:rsidR="00000000" w:rsidRPr="00000000">
        <w:rPr>
          <w:rtl w:val="0"/>
        </w:rPr>
        <w:t xml:space="preserve">La integración con Smart Campus UIS amplía el aporte del proyecto desde un dispositivo aislado hacia un esquema de monitoreo distribuido. El nodo físico aportará mediciones provenientes de la maqueta, mientras que el simulador generará mensajes JSON de cocinas virtuales identificadas de forma independiente. Con ello será posible validar la capacidad de recepción de datos, la latencia, la pérdida de mensajes y la recuperación de la comunicación al incrementar gradualmente la carga. Los ensayos se ejecutarán únicamente en el entorno, los horarios y los límites autorizados por los responsables de la infraestructura institucional.</w:t>
      </w:r>
    </w:p>
    <w:p w:rsidR="00000000" w:rsidDel="00000000" w:rsidP="00000000" w:rsidRDefault="00000000" w:rsidRPr="00000000" w14:paraId="00000035">
      <w:pPr>
        <w:rPr/>
      </w:pPr>
      <w:r w:rsidDel="00000000" w:rsidR="00000000" w:rsidRPr="00000000">
        <w:rPr>
          <w:rtl w:val="0"/>
        </w:rPr>
        <w:t xml:space="preserve">El uso de un ESP32 resulta pertinente para una prueba de concepto por su capacidad de adquisición de señales, procesamiento local y conectividad. Sin embargo, la viabilidad de una implementación real no depende únicamente del microcontrolador: también exige sensores y equipos certificados, diseño eléctrico apropiado, ubicación segura, calibración, mantenimiento y cumplimiento de los reglamentos aplicables. En Colombia, las instalaciones internas de gas combustible están reguladas por la Resolución 90902 de 2013 y las instalaciones eléctricas por el RETIE modificado mediante la Resolución 40284 de 2026 (Ministerio de Minas y Energía, 2013, 2026).</w:t>
      </w:r>
    </w:p>
    <w:p w:rsidR="00000000" w:rsidDel="00000000" w:rsidP="00000000" w:rsidRDefault="00000000" w:rsidRPr="00000000" w14:paraId="00000036">
      <w:pPr>
        <w:rPr/>
      </w:pPr>
      <w:r w:rsidDel="00000000" w:rsidR="00000000" w:rsidRPr="00000000">
        <w:rPr>
          <w:rtl w:val="0"/>
        </w:rPr>
        <w:t xml:space="preserve">En términos académicos, el trabajo articula instrumentación, sistemas embebidos, comunicaciones IoT, integración de plataformas, generación de datos, lógica de control y validación experimental. Su valor no radica en afirmar que el prototipo previene incendios de manera certificada, sino en producir una arquitectura documentada y evidencia medible sobre su capacidad para reconocer escenarios definidos, generar alertas y comunicar datos reales y simulados. Este enfoque hace que los resultados puedan evaluarse, reproducirse y discutirse con criterios de ingeniería.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Referencias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Campbell, R. (2017). Structure fires in eating and drinking establishments. National Fire Protection Association. </w:t>
      </w: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https://content.nfpa.org/-/media/Project/Storefront/Catalog/Files/Research/NFPA-Research/Building-and-life-safety/oseating.pdf</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Comisión Asesora Permanente para el Régimen de Construcciones Sismo Resistentes. (2010). Reglamento Colombiano de Construcción Sismo Resistente NSR-10, Título J: Requisitos de protección contra incendios en edificaciones. </w:t>
      </w:r>
      <w:hyperlink r:id="rId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https://tramites1.suit.gov.co/registro-web/suit_descargar_archivo?A=27003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Cuerpo Oficial de Bomberos de Bucaramanga. (2025). Informe de gestión 2024. </w:t>
      </w:r>
      <w:hyperlink r:id="rId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https://www.bucaramanga.gov.co/wp-content/uploads/2025/03/InformeGestion4trimestre_compressed.pdf</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Ministerio de Minas y Energía. (2013). Resolución 90902 de 2013: Reglamento técnico de instalaciones internas de gas combustible. </w:t>
      </w:r>
      <w:hyperlink r:id="rId10">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https://www.minenergia.gov.co/documents/2596/10238-Resoluci%C3%B3n-90902-24Oct2013.pdf</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Ministerio de Minas y Energía. (2026). Resolución 40284 de 2026, Libro 3: Instalaciones objeto del Reglamento Técnico de Instalaciones Eléctricas (RETIE). </w:t>
      </w:r>
      <w:hyperlink r:id="rId11">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https://www.minenergia.gov.co/documents/15921/Libro-3-Resolucion-40284-23-06-2026.pdf</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Ministerio de Trabajo y Seguridad Social. (1979). Resolución 2400 de 1979: Por la cual se establecen algunas disposiciones sobre vivienda, higiene y seguridad en los establecimientos de trabajo. </w:t>
      </w:r>
      <w:hyperlink r:id="rId12">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https://ventanilla.minvivienda.gov.co/normativa/resolucion-2400-1979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Unidad Administrativa Especial Cuerpo Oficial de Bomberos de Bogotá. (2022). Caracterización del escenario de riesgo: Puente Aranda. </w:t>
      </w:r>
      <w:hyperlink r:id="rId13">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https://www.bomberosbogota.gov.co/sites/default/files/Documentacion/Prevencion/EscenariosRiesgo/16.%20Caracterizacion%20PUENTE%20ARANDA.pdf</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Unidad Administrativa Especial Cuerpo Oficial de Bomberos de Bogotá. (s. f.). El mantenimiento preventivo y correctivo puede evitar emergencias. </w:t>
      </w:r>
      <w:hyperlink r:id="rId14">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https://www.bomberosbogota.gov.co/noticias/mantenimiento-preventivo-y-correctivo-puede-evitar-emergencias</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 Fire Administration. (s. f.). Nonresidential building cooking fire trends (2014–2023). </w:t>
      </w:r>
      <w:hyperlink r:id="rId15">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https://www.usfa.fema.gov/statistics/nonresidential-fires/cooking.html</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Vanguardia. (2019, 13 de mayo). Recalentamiento en extractor de la cocina causó incendio en restaurante en Bucaramanga. </w:t>
      </w:r>
      <w:hyperlink r:id="rId1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https://www.vanguardia.com/judicial/2019/05/13/recalentamiento-en-extractor-de-la-cocina-causo-incendio-en-restaurante-en-bucaramanga/</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Winsen Electronics. (2015). Technical data: MQ-6 gas sensor. </w:t>
      </w:r>
      <w:hyperlink r:id="rId1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https://www.mysensors.org/dl/57c3ebeb071cb0e34c90057a/design/MQ-6.pdf</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8" w:type="default"/>
      <w:footerReference r:id="rId1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7085"/>
        <w:sz w:val="17"/>
        <w:szCs w:val="17"/>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667085"/>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3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24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20" w:before="240" w:lin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24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tabs>
        <w:tab w:val="num" w:pos="360"/>
      </w:tabs>
      <w:contextualSpacing w:val="1"/>
    </w:pPr>
  </w:style>
  <w:style w:type="paragraph" w:styleId="Listaconvietas3">
    <w:name w:val="List Bullet 3"/>
    <w:basedOn w:val="Normal"/>
    <w:uiPriority w:val="99"/>
    <w:unhideWhenUsed w:val="1"/>
    <w:rsid w:val="00326F90"/>
    <w:pPr>
      <w:tabs>
        <w:tab w:val="num" w:pos="360"/>
      </w:tabs>
      <w:contextualSpacing w:val="1"/>
    </w:pPr>
  </w:style>
  <w:style w:type="paragraph" w:styleId="Listaconnmeros">
    <w:name w:val="List Number"/>
    <w:basedOn w:val="Normal"/>
    <w:uiPriority w:val="99"/>
    <w:unhideWhenUsed w:val="1"/>
    <w:rsid w:val="00326F90"/>
    <w:pPr>
      <w:tabs>
        <w:tab w:val="num" w:pos="360"/>
      </w:tabs>
      <w:contextualSpacing w:val="1"/>
    </w:pPr>
  </w:style>
  <w:style w:type="paragraph" w:styleId="Listaconnmeros2">
    <w:name w:val="List Number 2"/>
    <w:basedOn w:val="Normal"/>
    <w:uiPriority w:val="99"/>
    <w:unhideWhenUsed w:val="1"/>
    <w:rsid w:val="0029639D"/>
    <w:pPr>
      <w:tabs>
        <w:tab w:val="num" w:pos="360"/>
      </w:tabs>
      <w:contextualSpacing w:val="1"/>
    </w:pPr>
  </w:style>
  <w:style w:type="paragraph" w:styleId="Listaconnmeros3">
    <w:name w:val="List Number 3"/>
    <w:basedOn w:val="Normal"/>
    <w:uiPriority w:val="99"/>
    <w:unhideWhenUsed w:val="1"/>
    <w:rsid w:val="0029639D"/>
    <w:pPr>
      <w:tabs>
        <w:tab w:val="num" w:pos="360"/>
      </w:tabs>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ReferenciaAPA" w:customStyle="1">
    <w:name w:val="Referencia APA"/>
    <w:basedOn w:val="Normal"/>
    <w:pPr>
      <w:spacing w:after="140" w:line="276" w:lineRule="auto"/>
      <w:ind w:left="720" w:hanging="720"/>
      <w:jc w:val="left"/>
    </w:pPr>
    <w:rPr>
      <w:sz w:val="21"/>
    </w:rPr>
  </w:style>
  <w:style w:type="paragraph" w:styleId="Textodetabla" w:customStyle="1">
    <w:name w:val="Texto de tabla"/>
    <w:basedOn w:val="Normal"/>
    <w:pPr>
      <w:spacing w:after="60" w:line="259" w:lineRule="auto"/>
      <w:jc w:val="left"/>
    </w:pPr>
    <w:rPr>
      <w:sz w:val="19"/>
    </w:rPr>
  </w:style>
  <w:style w:type="character" w:styleId="Refdecomentario">
    <w:name w:val="annotation reference"/>
    <w:basedOn w:val="Fuentedeprrafopredeter"/>
    <w:uiPriority w:val="99"/>
    <w:semiHidden w:val="1"/>
    <w:unhideWhenUsed w:val="1"/>
    <w:rsid w:val="00CA1DFE"/>
    <w:rPr>
      <w:sz w:val="16"/>
      <w:szCs w:val="16"/>
    </w:rPr>
  </w:style>
  <w:style w:type="paragraph" w:styleId="Textocomentario">
    <w:name w:val="annotation text"/>
    <w:basedOn w:val="Normal"/>
    <w:link w:val="TextocomentarioCar"/>
    <w:uiPriority w:val="99"/>
    <w:semiHidden w:val="1"/>
    <w:unhideWhenUsed w:val="1"/>
    <w:rsid w:val="00CA1DFE"/>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CA1DFE"/>
    <w:rPr>
      <w:rFonts w:ascii="Calibri" w:hAnsi="Calibri"/>
      <w:color w:val="000000"/>
      <w:sz w:val="20"/>
      <w:szCs w:val="20"/>
      <w:lang w:val="es-CO"/>
    </w:rPr>
  </w:style>
  <w:style w:type="paragraph" w:styleId="Asuntodelcomentario">
    <w:name w:val="annotation subject"/>
    <w:basedOn w:val="Textocomentario"/>
    <w:next w:val="Textocomentario"/>
    <w:link w:val="AsuntodelcomentarioCar"/>
    <w:uiPriority w:val="99"/>
    <w:semiHidden w:val="1"/>
    <w:unhideWhenUsed w:val="1"/>
    <w:rsid w:val="00CA1DFE"/>
    <w:rPr>
      <w:b w:val="1"/>
      <w:bCs w:val="1"/>
    </w:rPr>
  </w:style>
  <w:style w:type="character" w:styleId="AsuntodelcomentarioCar" w:customStyle="1">
    <w:name w:val="Asunto del comentario Car"/>
    <w:basedOn w:val="TextocomentarioCar"/>
    <w:link w:val="Asuntodelcomentario"/>
    <w:uiPriority w:val="99"/>
    <w:semiHidden w:val="1"/>
    <w:rsid w:val="00CA1DFE"/>
    <w:rPr>
      <w:rFonts w:ascii="Calibri" w:hAnsi="Calibri"/>
      <w:b w:val="1"/>
      <w:bCs w:val="1"/>
      <w:color w:val="000000"/>
      <w:sz w:val="20"/>
      <w:szCs w:val="20"/>
      <w:lang w:val="es-CO"/>
    </w:rPr>
  </w:style>
  <w:style w:type="character" w:styleId="Hipervnculo">
    <w:name w:val="Hyperlink"/>
    <w:basedOn w:val="Fuentedeprrafopredeter"/>
    <w:uiPriority w:val="99"/>
    <w:unhideWhenUsed w:val="1"/>
    <w:rsid w:val="00A20D51"/>
    <w:rPr>
      <w:color w:val="0000ff" w:themeColor="hyperlink"/>
      <w:u w:val="single"/>
    </w:rPr>
  </w:style>
  <w:style w:type="character" w:styleId="Mencinsinresolver">
    <w:name w:val="Unresolved Mention"/>
    <w:basedOn w:val="Fuentedeprrafopredeter"/>
    <w:uiPriority w:val="99"/>
    <w:semiHidden w:val="1"/>
    <w:unhideWhenUsed w:val="1"/>
    <w:rsid w:val="00A20D51"/>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inenergia.gov.co/documents/15921/Libro-3-Resolucion-40284-23-06-2026.pdf" TargetMode="External"/><Relationship Id="rId10" Type="http://schemas.openxmlformats.org/officeDocument/2006/relationships/hyperlink" Target="https://www.minenergia.gov.co/documents/2596/10238-Resoluci%C3%B3n-90902-24Oct2013.pdf" TargetMode="External"/><Relationship Id="rId13" Type="http://schemas.openxmlformats.org/officeDocument/2006/relationships/hyperlink" Target="https://www.bomberosbogota.gov.co/sites/default/files/Documentacion/Prevencion/EscenariosRiesgo/16.%20Caracterizacion%20PUENTE%20ARANDA.pdf" TargetMode="External"/><Relationship Id="rId12" Type="http://schemas.openxmlformats.org/officeDocument/2006/relationships/hyperlink" Target="https://ventanilla.minvivienda.gov.co/normativa/resolucion-2400-19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ucaramanga.gov.co/wp-content/uploads/2025/03/InformeGestion4trimestre_compressed.pdf" TargetMode="External"/><Relationship Id="rId15" Type="http://schemas.openxmlformats.org/officeDocument/2006/relationships/hyperlink" Target="https://www.usfa.fema.gov/statistics/nonresidential-fires/cooking.html" TargetMode="External"/><Relationship Id="rId14" Type="http://schemas.openxmlformats.org/officeDocument/2006/relationships/hyperlink" Target="https://www.bomberosbogota.gov.co/noticias/mantenimiento-preventivo-y-correctivo-puede-evitar-emergencias" TargetMode="External"/><Relationship Id="rId17" Type="http://schemas.openxmlformats.org/officeDocument/2006/relationships/hyperlink" Target="https://www.mysensors.org/dl/57c3ebeb071cb0e34c90057a/design/MQ-6.pdf" TargetMode="External"/><Relationship Id="rId16" Type="http://schemas.openxmlformats.org/officeDocument/2006/relationships/hyperlink" Target="https://www.vanguardia.com/judicial/2019/05/13/recalentamiento-en-extractor-de-la-cocina-causo-incendio-en-restaurante-en-bucaramanga/"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content.nfpa.org/-/media/Project/Storefront/Catalog/Files/Research/NFPA-Research/Building-and-life-safety/oseating.pdf" TargetMode="External"/><Relationship Id="rId8" Type="http://schemas.openxmlformats.org/officeDocument/2006/relationships/hyperlink" Target="https://tramites1.suit.gov.co/registro-web/suit_descargar_archivo?A=27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0sMae4SyCHnEz6oCB+VHEXCSrg==">CgMxLjA4AHIhMVRCLTVhQUZ1WmtPaWlQSG9GV1dRWndVZHJPZFRpN1Jv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2026-08-21T02:04:00Z</dcterms:created>
  <dc:creator>Cesar Daniel Avila Barbosa;Carlos Eduardo Ayala Moreno</dc:creator>
</cp:coreProperties>
</file>