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Performance Tuning Guide</w:t>
      </w:r>
    </w:p>
    <w:p>
      <w:pPr>
        <w:jc w:val="center"/>
      </w:pPr>
      <w:r>
        <w:t>CockroachDB University  |  Version 26.1</w:t>
      </w:r>
    </w:p>
    <w:p>
      <w:pPr>
        <w:pStyle w:val="Heading1"/>
      </w:pPr>
      <w:r>
        <w:t>Query Execution Plans</w:t>
      </w:r>
    </w:p>
    <w:p>
      <w:r>
        <w:t>Understanding query execution plans is the foundation of SQL performance tuning in CockroachDB. Use EXPLAIN ANALYZE to see both the planned and actual execution of a query, including the number of rows processed at each stage, the time spent in each operator, and whether indexes were used effectively.</w:t>
      </w:r>
    </w:p>
    <w:p>
      <w:r>
        <w:t>Look for full table scans in the output, which indicate that CockroachDB could not use an index to satisfy the query. Full scans read every row in the table, which becomes increasingly expensive as tables grow. The ratio of rows scanned to rows returned is a key efficiency metric; a scan that reads 100,000 rows to return 10 results signals a missing or poorly designed index.</w:t>
      </w:r>
    </w:p>
    <w:p>
      <w:r>
        <w:t>The optimizer generates multiple candidate plans and selects the one with the lowest estimated cost. Statistics on table sizes, column distributions, and index selectivity inform these estimates. Run CREATE STATISTICS periodically or enable automatic statistics collection to keep the optimizer well-informed.</w:t>
      </w:r>
    </w:p>
    <w:p>
      <w:pPr>
        <w:pStyle w:val="Heading1"/>
      </w:pPr>
      <w:r>
        <w:t>Index Design Strategies</w:t>
      </w:r>
    </w:p>
    <w:p>
      <w:r>
        <w:t>Secondary indexes in CockroachDB are stored as separate sorted key-value maps, distributed and replicated just like table data. Each index adds write overhead because every INSERT, UPDATE, or DELETE on indexed columns must also update the index. Balance query performance gains against write amplification.</w:t>
      </w:r>
    </w:p>
    <w:p>
      <w:r>
        <w:t>Covering indexes include all columns needed by a query, avoiding a table lookup entirely. Use STORING clauses to add non-indexed columns to an index. For example, if a query filters by status and returns name and email, create an index ON (status) STORING (name, email).</w:t>
      </w:r>
    </w:p>
    <w:p>
      <w:r>
        <w:t>Partial indexes use a WHERE clause to index only a subset of rows. They are ideal for queries that frequently filter on the same predicate. A partial index ON orders (customer_id) WHERE status = 'pending' is much smaller and faster than indexing all orders.</w:t>
      </w:r>
    </w:p>
    <w:p>
      <w:r>
        <w:t>Expression indexes index computed values rather than raw column data. Use them for case-insensitive searches (lower(email)), JSON field extraction (data-&gt;&gt;'field'), or other transformations that appear in query predicates.</w:t>
      </w:r>
    </w:p>
    <w:p>
      <w:pPr>
        <w:pStyle w:val="Heading1"/>
      </w:pPr>
      <w:r>
        <w:t>Connection Pooling</w:t>
      </w:r>
    </w:p>
    <w:p>
      <w:r>
        <w:t>Connection pooling is essential for production CockroachDB deployments. Establishing a new database connection involves TCP handshake, TLS negotiation, and authentication, which adds significant latency to each request if done per-query.</w:t>
      </w:r>
    </w:p>
    <w:p>
      <w:r>
        <w:t>Configure pool sizes at 2 to 4 connections per CPU core on the application server. Larger pools create more contention on the database side without improving throughput. CockroachDB works well with pgBouncer in transaction mode, application-level pools in frameworks like HikariCP (Java), SQLAlchemy (Python), and pgx (Go).</w:t>
      </w:r>
    </w:p>
    <w:p>
      <w:r>
        <w:t>Monitor connection usage through the CockroachDB DB Console. The SQL Connections graph shows active connections across all nodes. Spikes in connection count often correlate with latency increases and may indicate a connection leak in the application.</w:t>
      </w:r>
    </w:p>
    <w:p>
      <w:pPr>
        <w:pStyle w:val="Heading1"/>
      </w:pPr>
      <w:r>
        <w:t>Vector Search Performance</w:t>
      </w:r>
    </w:p>
    <w:p>
      <w:r>
        <w:t>Vector similarity search in CockroachDB uses the VECTOR data type and C-SPANN indexes for approximate nearest neighbor (ANN) queries. Without an index, vector search performs a brute-force scan comparing the query vector against every row, which is O(n) in table size.</w:t>
      </w:r>
    </w:p>
    <w:p>
      <w:r>
        <w:t>C-SPANN (Clustered Scalable Partition-based ANN) indexes partition vectors into clusters aligned with CockroachDB's range-based storage. At query time, only the partitions nearest to the query vector are probed, reducing the search space dramatically. Tuning parameters min_partition_size and max_partition_size control the trade-off between recall and latency.</w:t>
      </w:r>
    </w:p>
    <w:p>
      <w:r>
        <w:t>For RAG workloads that prioritize recall over speed, use larger partition sizes. For real-time search applications where latency is critical, use smaller partitions. Monitor recall by periodically comparing ANN results against exact brute-force results on a sample of queries.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