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ITEC001 Assignment 2 — Course Enrolment Tracker</w:t>
      </w:r>
    </w:p>
    <w:p>
      <w:pPr>
        <w:spacing w:after="160"/>
      </w:pPr>
      <w:r>
        <w:rPr>
          <w:b/>
          <w:bCs/>
          <w:i w:val="false"/>
          <w:iCs w:val="false"/>
        </w:rPr>
        <w:t xml:space="preserve">Course: ITEC001 — Introduction to Programming</w:t>
      </w:r>
    </w:p>
    <w:p>
      <w:pPr>
        <w:spacing w:after="160"/>
      </w:pPr>
      <w:r>
        <w:rPr>
          <w:b/>
          <w:bCs/>
          <w:i w:val="false"/>
          <w:iCs w:val="false"/>
        </w:rPr>
        <w:t xml:space="preserve">Category: Report</w:t>
      </w:r>
    </w:p>
    <w:p>
      <w:pPr>
        <w:spacing w:after="160"/>
      </w:pPr>
      <w:r>
        <w:rPr>
          <w:b/>
          <w:bCs/>
          <w:i w:val="false"/>
          <w:iCs w:val="false"/>
        </w:rPr>
        <w:t xml:space="preserve">Due date: Friday, 9 October 2026, 11:59 PM</w:t>
      </w:r>
    </w:p>
    <w:p>
      <w:pPr>
        <w:spacing w:after="160"/>
      </w:pPr>
      <w:r>
        <w:rPr>
          <w:b w:val="false"/>
          <w:bCs w:val="false"/>
          <w:i w:val="false"/>
          <w:iCs w:val="false"/>
        </w:rPr>
        <w:t xml:space="preserve">Weighting: 20% of final grade</w:t>
      </w:r>
    </w:p>
    <w:p>
      <w:pPr>
        <w:pStyle w:val="Heading2"/>
        <w:spacing w:after="120" w:before="240"/>
      </w:pPr>
      <w:r>
        <w:t xml:space="preserve">Learning outcomes addressed</w:t>
      </w:r>
    </w:p>
    <w:p>
      <w:pPr>
        <w:pStyle w:val="ListParagraph"/>
        <w:numPr>
          <w:ilvl w:val="0"/>
          <w:numId w:val="1"/>
        </w:numPr>
        <w:spacing w:after="100"/>
      </w:pPr>
      <w:r>
        <w:t xml:space="preserve">Design and implement a console application using variables, conditionals, loops, and functions.</w:t>
      </w:r>
    </w:p>
    <w:p>
      <w:pPr>
        <w:pStyle w:val="ListParagraph"/>
        <w:numPr>
          <w:ilvl w:val="0"/>
          <w:numId w:val="1"/>
        </w:numPr>
        <w:spacing w:after="100"/>
      </w:pPr>
      <w:r>
        <w:t xml:space="preserve">Apply defensive programming practices to handle edge cases such as empty collections.</w:t>
      </w:r>
    </w:p>
    <w:p>
      <w:pPr>
        <w:pStyle w:val="ListParagraph"/>
        <w:numPr>
          <w:ilvl w:val="0"/>
          <w:numId w:val="1"/>
        </w:numPr>
        <w:spacing w:after="100"/>
      </w:pPr>
      <w:r>
        <w:t xml:space="preserve">Communicate a technical design and its testing in written form.</w:t>
      </w:r>
    </w:p>
    <w:p>
      <w:pPr>
        <w:pStyle w:val="Heading2"/>
        <w:spacing w:after="120" w:before="240"/>
      </w:pPr>
      <w:r>
        <w:t xml:space="preserve">Background</w:t>
      </w:r>
    </w:p>
    <w:p>
      <w:pPr>
        <w:spacing w:after="160"/>
      </w:pPr>
      <w:r>
        <w:rPr>
          <w:b w:val="false"/>
          <w:bCs w:val="false"/>
          <w:i w:val="false"/>
          <w:iCs w:val="false"/>
        </w:rPr>
        <w:t xml:space="preserve">Many small organisations still track enrolment data using nothing more than a spreadsheet, which becomes error-prone once more than a handful of records need updating regularly. This assignment asks you to build a small, purpose-built console application to replace that spreadsheet for a single specific use case: tracking student enrolment and grade point averages (GPA) for one course offering.</w:t>
      </w:r>
    </w:p>
    <w:p>
      <w:pPr>
        <w:pStyle w:val="Heading2"/>
        <w:spacing w:after="120" w:before="240"/>
      </w:pPr>
      <w:r>
        <w:t xml:space="preserve">The exact application you must build</w:t>
      </w:r>
    </w:p>
    <w:p>
      <w:pPr>
        <w:spacing w:after="160"/>
      </w:pPr>
      <w:r>
        <w:rPr>
          <w:b w:val="false"/>
          <w:bCs w:val="false"/>
          <w:i w:val="false"/>
          <w:iCs w:val="false"/>
        </w:rPr>
        <w:t xml:space="preserve">You are to build a console application called the Course Enrolment Tracker. This is not an open-ended "build any app you like" task — your application must implement exactly the following menu, presented to the user in exactly this order every time the program runs:</w:t>
      </w:r>
    </w:p>
    <w:p>
      <w:pPr>
        <w:spacing w:after="100"/>
        <w:ind w:left="260"/>
      </w:pPr>
      <w:r>
        <w:rPr>
          <w:rFonts w:ascii="Consolas" w:cs="Consolas" w:eastAsia="Consolas" w:hAnsi="Consolas"/>
          <w:sz w:val="21"/>
          <w:szCs w:val="21"/>
        </w:rPr>
        <w:t xml:space="preserve">1. Add a student</w:t>
      </w:r>
    </w:p>
    <w:p>
      <w:pPr>
        <w:spacing w:after="100"/>
        <w:ind w:left="260"/>
      </w:pPr>
      <w:r>
        <w:rPr>
          <w:rFonts w:ascii="Consolas" w:cs="Consolas" w:eastAsia="Consolas" w:hAnsi="Consolas"/>
          <w:sz w:val="21"/>
          <w:szCs w:val="21"/>
        </w:rPr>
        <w:t xml:space="preserve">2. Remove a student</w:t>
      </w:r>
    </w:p>
    <w:p>
      <w:pPr>
        <w:spacing w:after="100"/>
        <w:ind w:left="260"/>
      </w:pPr>
      <w:r>
        <w:rPr>
          <w:rFonts w:ascii="Consolas" w:cs="Consolas" w:eastAsia="Consolas" w:hAnsi="Consolas"/>
          <w:sz w:val="21"/>
          <w:szCs w:val="21"/>
        </w:rPr>
        <w:t xml:space="preserve">3. List students with a GPA above a threshold</w:t>
      </w:r>
    </w:p>
    <w:p>
      <w:pPr>
        <w:spacing w:after="100"/>
        <w:ind w:left="260"/>
      </w:pPr>
      <w:r>
        <w:rPr>
          <w:rFonts w:ascii="Consolas" w:cs="Consolas" w:eastAsia="Consolas" w:hAnsi="Consolas"/>
          <w:sz w:val="21"/>
          <w:szCs w:val="21"/>
        </w:rPr>
        <w:t xml:space="preserve">4. Calculate the class average GPA</w:t>
      </w:r>
    </w:p>
    <w:p>
      <w:pPr>
        <w:spacing w:after="100"/>
        <w:ind w:left="260"/>
      </w:pPr>
      <w:r>
        <w:rPr>
          <w:rFonts w:ascii="Consolas" w:cs="Consolas" w:eastAsia="Consolas" w:hAnsi="Consolas"/>
          <w:sz w:val="21"/>
          <w:szCs w:val="21"/>
        </w:rPr>
        <w:t xml:space="preserve">5. Exit</w:t>
      </w:r>
    </w:p>
    <w:p>
      <w:pPr>
        <w:spacing w:after="160"/>
      </w:pPr>
      <w:r>
        <w:rPr>
          <w:b w:val="false"/>
          <w:bCs w:val="false"/>
          <w:i w:val="false"/>
          <w:iCs w:val="false"/>
        </w:rPr>
        <w:t xml:space="preserve">Each student record must store exactly three fields: fullName (a string), studentId (a 6-digit integer, e.g. 348219), and gpa (a floating-point number between 0.0 and 4.0 inclusive). Your program should reject an attempt to add a student with a GPA outside this range, rather than silently accepting it.</w:t>
      </w:r>
    </w:p>
    <w:p>
      <w:pPr>
        <w:pStyle w:val="Heading3"/>
        <w:spacing w:after="100" w:before="180"/>
      </w:pPr>
      <w:r>
        <w:t xml:space="preserve">Option 3 in detail</w:t>
      </w:r>
    </w:p>
    <w:p>
      <w:pPr>
        <w:spacing w:after="160"/>
      </w:pPr>
      <w:r>
        <w:rPr>
          <w:b w:val="false"/>
          <w:bCs w:val="false"/>
          <w:i w:val="false"/>
          <w:iCs w:val="false"/>
        </w:rPr>
        <w:t xml:space="preserve">Option 3 must prompt the user to enter a threshold GPA value, then list the full name and GPA of every student whose GPA is strictly greater than that threshold. A student whose GPA is exactly equal to the threshold must NOT appear in the results — this exact boundary condition is one of the specific things this assignment is testing your attention to detail on.</w:t>
      </w:r>
    </w:p>
    <w:p>
      <w:pPr>
        <w:pStyle w:val="Heading3"/>
        <w:spacing w:after="100" w:before="180"/>
      </w:pPr>
      <w:r>
        <w:t xml:space="preserve">Option 4 in detail</w:t>
      </w:r>
    </w:p>
    <w:p>
      <w:pPr>
        <w:spacing w:after="160"/>
      </w:pPr>
      <w:r>
        <w:rPr>
          <w:b w:val="false"/>
          <w:bCs w:val="false"/>
          <w:i w:val="false"/>
          <w:iCs w:val="false"/>
        </w:rPr>
        <w:t xml:space="preserve">Option 4 must calculate and display the average GPA across every currently enrolled student. If there are zero students currently enrolled, your program must not crash with a divide-by-zero error — it should instead display a clear message such as "No students enrolled yet" and return to the main menu.</w:t>
      </w:r>
    </w:p>
    <w:p>
      <w:pPr>
        <w:pStyle w:val="Heading2"/>
        <w:spacing w:after="120" w:before="240"/>
      </w:pPr>
      <w:r>
        <w:t xml:space="preserve">Required sections of your report</w:t>
      </w:r>
    </w:p>
    <w:p>
      <w:pPr>
        <w:pStyle w:val="ListParagraph"/>
        <w:numPr>
          <w:ilvl w:val="0"/>
          <w:numId w:val="1"/>
        </w:numPr>
        <w:spacing w:after="100"/>
      </w:pPr>
      <w:r>
        <w:t xml:space="preserve">Introduction (approx. 150 words) — briefly describe the Course Enrolment Tracker and its five menu options, and who might realistically use a tool like this.</w:t>
      </w:r>
    </w:p>
    <w:p>
      <w:pPr>
        <w:pStyle w:val="ListParagraph"/>
        <w:numPr>
          <w:ilvl w:val="0"/>
          <w:numId w:val="1"/>
        </w:numPr>
        <w:spacing w:after="100"/>
      </w:pPr>
      <w:r>
        <w:t xml:space="preserve">Design (approx. 250 words, plus a diagram or pseudocode) — show the structure of your student record and explain why you chose the data types you did, particularly for gpa.</w:t>
      </w:r>
    </w:p>
    <w:p>
      <w:pPr>
        <w:pStyle w:val="ListParagraph"/>
        <w:numPr>
          <w:ilvl w:val="0"/>
          <w:numId w:val="1"/>
        </w:numPr>
        <w:spacing w:after="100"/>
      </w:pPr>
      <w:r>
        <w:t xml:space="preserve">Implementation (approx. 400 words) — explain, with reference to your actual code, how option 3's "strictly greater than" comparison was implemented, and how option 4 avoids a divide-by-zero error when no students are enrolled.</w:t>
      </w:r>
    </w:p>
    <w:p>
      <w:pPr>
        <w:pStyle w:val="ListParagraph"/>
        <w:numPr>
          <w:ilvl w:val="0"/>
          <w:numId w:val="1"/>
        </w:numPr>
        <w:spacing w:after="100"/>
      </w:pPr>
      <w:r>
        <w:t xml:space="preserve">Testing (approx. 300 words, plus a table of test cases) — you must include, at minimum, a test case for a GPA exactly equal to the threshold (must be excluded from option 3's results), a test case for calculating the average with zero students enrolled, and a test case for attempting to add a duplicate studentId.</w:t>
      </w:r>
    </w:p>
    <w:p>
      <w:pPr>
        <w:pStyle w:val="ListParagraph"/>
        <w:numPr>
          <w:ilvl w:val="0"/>
          <w:numId w:val="1"/>
        </w:numPr>
        <w:spacing w:after="100"/>
      </w:pPr>
      <w:r>
        <w:t xml:space="preserve">Reflection (approx. 200 words) — what was difficult about this assignment, and what would you do differently if you started again.</w:t>
      </w:r>
    </w:p>
    <w:p>
      <w:pPr>
        <w:pStyle w:val="Heading2"/>
        <w:spacing w:after="120" w:before="240"/>
      </w:pPr>
      <w:r>
        <w:t xml:space="preserve">Marking rubric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E8E4DC" w:val="clear"/>
          </w:tcPr>
          <w:p>
            <w:r>
              <w:rPr>
                <w:b/>
                <w:bCs/>
              </w:rPr>
              <w:t xml:space="preserve">Criterion</w:t>
            </w:r>
          </w:p>
        </w:tc>
        <w:tc>
          <w:tcPr>
            <w:tcW w:type="dxa" w:w="2000"/>
            <w:shd w:fill="E8E4DC" w:val="clear"/>
          </w:tcPr>
          <w:p>
            <w:r>
              <w:rPr>
                <w:b/>
                <w:bCs/>
              </w:rPr>
              <w:t xml:space="preserve">Marks</w:t>
            </w:r>
          </w:p>
        </w:tc>
        <w:tc>
          <w:tcPr>
            <w:tcW w:type="dxa" w:w="5500"/>
            <w:shd w:fill="E8E4DC" w:val="clear"/>
          </w:tcPr>
          <w:p>
            <w:r>
              <w:rPr>
                <w:b/>
                <w:bCs/>
              </w:rPr>
              <w:t xml:space="preserve">What's expected</w:t>
            </w:r>
          </w:p>
        </w:tc>
      </w:tr>
      <w:tr>
        <w:tc>
          <w:tcPr>
            <w:tcW w:type="dxa" w:w="2000"/>
          </w:tcPr>
          <w:p>
            <w:r>
              <w:t xml:space="preserve">Menu structure &amp; field types</w:t>
            </w:r>
          </w:p>
        </w:tc>
        <w:tc>
          <w:tcPr>
            <w:tcW w:type="dxa" w:w="2000"/>
          </w:tcPr>
          <w:p>
            <w:r>
              <w:t xml:space="preserve">20</w:t>
            </w:r>
          </w:p>
        </w:tc>
        <w:tc>
          <w:tcPr>
            <w:tcW w:type="dxa" w:w="5500"/>
          </w:tcPr>
          <w:p>
            <w:r>
              <w:t xml:space="preserve">Menu matches the specification exactly, in order; student record has exactly the three specified fields with correct types.</w:t>
            </w:r>
          </w:p>
        </w:tc>
      </w:tr>
      <w:tr>
        <w:tc>
          <w:tcPr>
            <w:tcW w:type="dxa" w:w="2000"/>
          </w:tcPr>
          <w:p>
            <w:r>
              <w:t xml:space="preserve">Option 3 threshold logic</w:t>
            </w:r>
          </w:p>
        </w:tc>
        <w:tc>
          <w:tcPr>
            <w:tcW w:type="dxa" w:w="2000"/>
          </w:tcPr>
          <w:p>
            <w:r>
              <w:t xml:space="preserve">20</w:t>
            </w:r>
          </w:p>
        </w:tc>
        <w:tc>
          <w:tcPr>
            <w:tcW w:type="dxa" w:w="5500"/>
          </w:tcPr>
          <w:p>
            <w:r>
              <w:t xml:space="preserve">Threshold comparison is strictly greater-than, not greater-than-or-equal; correctly excludes students exactly at the threshold.</w:t>
            </w:r>
          </w:p>
        </w:tc>
      </w:tr>
      <w:tr>
        <w:tc>
          <w:tcPr>
            <w:tcW w:type="dxa" w:w="2000"/>
          </w:tcPr>
          <w:p>
            <w:r>
              <w:t xml:space="preserve">Option 4 edge case handling</w:t>
            </w:r>
          </w:p>
        </w:tc>
        <w:tc>
          <w:tcPr>
            <w:tcW w:type="dxa" w:w="2000"/>
          </w:tcPr>
          <w:p>
            <w:r>
              <w:t xml:space="preserve">20</w:t>
            </w:r>
          </w:p>
        </w:tc>
        <w:tc>
          <w:tcPr>
            <w:tcW w:type="dxa" w:w="5500"/>
          </w:tcPr>
          <w:p>
            <w:r>
              <w:t xml:space="preserve">Average GPA calculates correctly for a normal case; does not crash or produce an error when zero students are enrolled.</w:t>
            </w:r>
          </w:p>
        </w:tc>
      </w:tr>
      <w:tr>
        <w:tc>
          <w:tcPr>
            <w:tcW w:type="dxa" w:w="2000"/>
          </w:tcPr>
          <w:p>
            <w:r>
              <w:t xml:space="preserve">Testing quality</w:t>
            </w:r>
          </w:p>
        </w:tc>
        <w:tc>
          <w:tcPr>
            <w:tcW w:type="dxa" w:w="2000"/>
          </w:tcPr>
          <w:p>
            <w:r>
              <w:t xml:space="preserve">20</w:t>
            </w:r>
          </w:p>
        </w:tc>
        <w:tc>
          <w:tcPr>
            <w:tcW w:type="dxa" w:w="5500"/>
          </w:tcPr>
          <w:p>
            <w:r>
              <w:t xml:space="preserve">All three required test cases are present, clearly documented, and show correct expected vs actual results.</w:t>
            </w:r>
          </w:p>
        </w:tc>
      </w:tr>
      <w:tr>
        <w:tc>
          <w:tcPr>
            <w:tcW w:type="dxa" w:w="2000"/>
          </w:tcPr>
          <w:p>
            <w:r>
              <w:t xml:space="preserve">Reflection</w:t>
            </w:r>
          </w:p>
        </w:tc>
        <w:tc>
          <w:tcPr>
            <w:tcW w:type="dxa" w:w="2000"/>
          </w:tcPr>
          <w:p>
            <w:r>
              <w:t xml:space="preserve">20</w:t>
            </w:r>
          </w:p>
        </w:tc>
        <w:tc>
          <w:tcPr>
            <w:tcW w:type="dxa" w:w="5500"/>
          </w:tcPr>
          <w:p>
            <w:r>
              <w:t xml:space="preserve">Genuine, specific reflection on difficulties and possible improvements, not generic statements.</w:t>
            </w:r>
          </w:p>
        </w:tc>
      </w:tr>
    </w:tbl>
    <w:p>
      <w:pPr>
        <w:pStyle w:val="Heading2"/>
        <w:spacing w:after="120" w:before="240"/>
      </w:pPr>
      <w:r>
        <w:t xml:space="preserve">Referencing</w:t>
      </w:r>
    </w:p>
    <w:p>
      <w:pPr>
        <w:spacing w:after="160"/>
      </w:pPr>
      <w:r>
        <w:rPr>
          <w:b w:val="false"/>
          <w:bCs w:val="false"/>
          <w:i w:val="false"/>
          <w:iCs w:val="false"/>
        </w:rPr>
        <w:t xml:space="preserve">Any external sources used (outside of lecture material) must be cited in IEEE style, including in-text citations and a reference list.</w:t>
      </w:r>
    </w:p>
    <w:p>
      <w:pPr>
        <w:pStyle w:val="Heading2"/>
        <w:spacing w:after="120" w:before="240"/>
      </w:pPr>
      <w:r>
        <w:t xml:space="preserve">Academic integrity</w:t>
      </w:r>
    </w:p>
    <w:p>
      <w:pPr>
        <w:spacing w:after="160"/>
      </w:pPr>
      <w:r>
        <w:rPr>
          <w:b w:val="false"/>
          <w:bCs w:val="false"/>
          <w:i w:val="false"/>
          <w:iCs w:val="false"/>
        </w:rPr>
        <w:t xml:space="preserve">This is an individual assessment. You may discuss general concepts with classmates, but all written work, diagrams, and code must be your own. Submissions are checked using similarity-detection software. Suspected breaches are referred to the unit's Academic Integrity process.</w:t>
      </w:r>
    </w:p>
    <w:p>
      <w:pPr>
        <w:pStyle w:val="Heading2"/>
        <w:spacing w:after="120" w:before="240"/>
      </w:pPr>
      <w:r>
        <w:t xml:space="preserve">Late submission policy</w:t>
      </w:r>
    </w:p>
    <w:p>
      <w:pPr>
        <w:spacing w:after="160"/>
      </w:pPr>
      <w:r>
        <w:rPr>
          <w:b w:val="false"/>
          <w:bCs w:val="false"/>
          <w:i w:val="false"/>
          <w:iCs w:val="false"/>
        </w:rPr>
        <w:t xml:space="preserve">Late submissions are penalised at 5% of the total available marks per calendar day, up to a maximum of 5 days late. Submissions more than 5 days late will not be accepted without an approved extension. Extension requests must be submitted at least 24 hours before the due date via the unit's extension request form.</w:t>
      </w:r>
    </w:p>
    <w:p>
      <w:pPr>
        <w:pStyle w:val="Heading2"/>
        <w:spacing w:after="120" w:before="240"/>
      </w:pPr>
      <w:r>
        <w:t xml:space="preserve">Getting help</w:t>
      </w:r>
    </w:p>
    <w:p>
      <w:pPr>
        <w:spacing w:after="160"/>
      </w:pPr>
      <w:r>
        <w:rPr>
          <w:b w:val="false"/>
          <w:bCs w:val="false"/>
          <w:i w:val="false"/>
          <w:iCs w:val="false"/>
        </w:rPr>
        <w:t xml:space="preserve">Questions about this assessment can be raised in the weekly workshop, on the unit's discussion forum, or during consultation hours. Please do not leave questions until the day before the due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2026-09-25T03:21:35.025Z</dcterms:created>
  <dcterms:modified xsi:type="dcterms:W3CDTF">2026-09-25T03:21:35.025Z</dcterms:modified>
</cp:coreProperties>
</file>

<file path=docProps/custom.xml><?xml version="1.0" encoding="utf-8"?>
<Properties xmlns="http://schemas.openxmlformats.org/officeDocument/2006/custom-properties" xmlns:vt="http://schemas.openxmlformats.org/officeDocument/2006/docPropsVTypes"/>
</file>