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ITEC002 Quiz 2 — Transactions &amp; Indexing</w:t>
      </w:r>
    </w:p>
    <w:p>
      <w:pPr>
        <w:spacing w:after="160"/>
      </w:pPr>
      <w:r>
        <w:rPr>
          <w:b/>
          <w:bCs/>
          <w:i w:val="false"/>
          <w:iCs w:val="false"/>
        </w:rPr>
        <w:t xml:space="preserve">Course: ITEC002 — Database Systems</w:t>
      </w:r>
    </w:p>
    <w:p>
      <w:pPr>
        <w:spacing w:after="160"/>
      </w:pPr>
      <w:r>
        <w:rPr>
          <w:b/>
          <w:bCs/>
          <w:i w:val="false"/>
          <w:iCs w:val="false"/>
        </w:rPr>
        <w:t xml:space="preserve">Category: Quiz</w:t>
      </w:r>
    </w:p>
    <w:p>
      <w:pPr>
        <w:spacing w:after="160"/>
      </w:pPr>
      <w:r>
        <w:rPr>
          <w:b/>
          <w:bCs/>
          <w:i w:val="false"/>
          <w:iCs w:val="false"/>
        </w:rPr>
        <w:t xml:space="preserve">Due date: Friday, 13 November 2026, 11:59 PM</w:t>
      </w:r>
    </w:p>
    <w:p>
      <w:pPr>
        <w:spacing w:after="160"/>
      </w:pPr>
      <w:r>
        <w:rPr>
          <w:b w:val="false"/>
          <w:bCs w:val="false"/>
          <w:i w:val="false"/>
          <w:iCs w:val="false"/>
        </w:rPr>
        <w:t xml:space="preserve">Weighting: 5% of final grade</w:t>
      </w:r>
    </w:p>
    <w:p>
      <w:pPr>
        <w:pStyle w:val="Heading2"/>
        <w:spacing w:after="120" w:before="240"/>
      </w:pPr>
      <w:r>
        <w:t xml:space="preserve">Learning outcomes addressed</w:t>
      </w:r>
    </w:p>
    <w:p>
      <w:pPr>
        <w:pStyle w:val="ListParagraph"/>
        <w:numPr>
          <w:ilvl w:val="0"/>
          <w:numId w:val="1"/>
        </w:numPr>
        <w:spacing w:after="100"/>
      </w:pPr>
      <w:r>
        <w:t xml:space="preserve">Explain the ACID properties of database transactions with reference to a specific example.</w:t>
      </w:r>
    </w:p>
    <w:p>
      <w:pPr>
        <w:pStyle w:val="ListParagraph"/>
        <w:numPr>
          <w:ilvl w:val="0"/>
          <w:numId w:val="1"/>
        </w:numPr>
        <w:spacing w:after="100"/>
      </w:pPr>
      <w:r>
        <w:t xml:space="preserve">Describe the trade-offs involved in adding an index to a table.</w:t>
      </w:r>
    </w:p>
    <w:p>
      <w:pPr>
        <w:pStyle w:val="Heading2"/>
        <w:spacing w:after="120" w:before="240"/>
      </w:pPr>
      <w:r>
        <w:t xml:space="preserve">Introduction</w:t>
      </w:r>
    </w:p>
    <w:p>
      <w:pPr>
        <w:spacing w:after="160"/>
      </w:pPr>
      <w:r>
        <w:rPr>
          <w:b w:val="false"/>
          <w:bCs w:val="false"/>
          <w:i w:val="false"/>
          <w:iCs w:val="false"/>
        </w:rPr>
        <w:t xml:space="preserve">This quiz covers transactions and indexing, using one running worked example throughout: FirstTrust Bank's fund transfer system. You are expected to be able to apply the ACID properties specifically to this example, not just define them in the abstract.</w:t>
      </w:r>
    </w:p>
    <w:p>
      <w:pPr>
        <w:pStyle w:val="Heading2"/>
        <w:spacing w:after="120" w:before="240"/>
      </w:pPr>
      <w:r>
        <w:t xml:space="preserve">Worked example: FirstTrust Bank's transferFunds procedure</w:t>
      </w:r>
    </w:p>
    <w:p>
      <w:pPr>
        <w:spacing w:after="160"/>
      </w:pPr>
      <w:r>
        <w:rPr>
          <w:b w:val="false"/>
          <w:bCs w:val="false"/>
          <w:i w:val="false"/>
          <w:iCs w:val="false"/>
        </w:rPr>
        <w:t xml:space="preserve">FirstTrust Bank's fictional transferFunds(fromAccountId, toAccountId, amount) procedure consists of exactly these three steps, executed in this order:</w:t>
      </w:r>
    </w:p>
    <w:p>
      <w:pPr>
        <w:spacing w:after="100"/>
        <w:ind w:left="260"/>
      </w:pPr>
      <w:r>
        <w:rPr>
          <w:rFonts w:ascii="Consolas" w:cs="Consolas" w:eastAsia="Consolas" w:hAnsi="Consolas"/>
          <w:sz w:val="21"/>
          <w:szCs w:val="21"/>
        </w:rPr>
        <w:t xml:space="preserve">1. Subtract amount from the fromAccountId balance</w:t>
      </w:r>
    </w:p>
    <w:p>
      <w:pPr>
        <w:spacing w:after="100"/>
        <w:ind w:left="260"/>
      </w:pPr>
      <w:r>
        <w:rPr>
          <w:rFonts w:ascii="Consolas" w:cs="Consolas" w:eastAsia="Consolas" w:hAnsi="Consolas"/>
          <w:sz w:val="21"/>
          <w:szCs w:val="21"/>
        </w:rPr>
        <w:t xml:space="preserve">2. Add amount to the toAccountId balance</w:t>
      </w:r>
    </w:p>
    <w:p>
      <w:pPr>
        <w:spacing w:after="100"/>
        <w:ind w:left="260"/>
      </w:pPr>
      <w:r>
        <w:rPr>
          <w:rFonts w:ascii="Consolas" w:cs="Consolas" w:eastAsia="Consolas" w:hAnsi="Consolas"/>
          <w:sz w:val="21"/>
          <w:szCs w:val="21"/>
        </w:rPr>
        <w:t xml:space="preserve">3. Write a record to the TransferLog table</w:t>
      </w:r>
    </w:p>
    <w:p>
      <w:pPr>
        <w:spacing w:after="160"/>
      </w:pPr>
      <w:r>
        <w:rPr>
          <w:b w:val="false"/>
          <w:bCs w:val="false"/>
          <w:i w:val="false"/>
          <w:iCs w:val="false"/>
        </w:rPr>
        <w:t xml:space="preserve">The lecture's central teaching point: if the system crashes between step 1 and step 2, money has been subtracted from one account without ever being added to the other — it has effectively vanished. Wrapping all three steps in a single database transaction is what prevents this exact failure mode, via the Atomicity property.</w:t>
      </w:r>
    </w:p>
    <w:p>
      <w:pPr>
        <w:pStyle w:val="Heading2"/>
        <w:spacing w:after="120" w:before="240"/>
      </w:pPr>
      <w:r>
        <w:t xml:space="preserve">ACID properties applied to this exact example</w:t>
      </w:r>
    </w:p>
    <w:p>
      <w:pPr>
        <w:pStyle w:val="Heading3"/>
        <w:spacing w:after="100" w:before="180"/>
      </w:pPr>
      <w:r>
        <w:t xml:space="preserve">Atomicity</w:t>
      </w:r>
    </w:p>
    <w:p>
      <w:pPr>
        <w:spacing w:after="160"/>
      </w:pPr>
      <w:r>
        <w:rPr>
          <w:b w:val="false"/>
          <w:bCs w:val="false"/>
          <w:i w:val="false"/>
          <w:iCs w:val="false"/>
        </w:rPr>
        <w:t xml:space="preserve">All three transferFunds steps succeed together as one unit, or none of them take effect at all. A crash after step 1 alone causes the entire transaction to roll back automatically, restoring the fromAccountId balance as though the transfer never started.</w:t>
      </w:r>
    </w:p>
    <w:p>
      <w:pPr>
        <w:pStyle w:val="Heading3"/>
        <w:spacing w:after="100" w:before="180"/>
      </w:pPr>
      <w:r>
        <w:t xml:space="preserve">Consistency</w:t>
      </w:r>
    </w:p>
    <w:p>
      <w:pPr>
        <w:spacing w:after="160"/>
      </w:pPr>
      <w:r>
        <w:rPr>
          <w:b w:val="false"/>
          <w:bCs w:val="false"/>
          <w:i w:val="false"/>
          <w:iCs w:val="false"/>
        </w:rPr>
        <w:t xml:space="preserve">FirstTrust's rule that no account balance may ever go negative is enforced across the whole transaction as a unit, not checked separately after each individual step — a transfer that would leave fromAccountId negative is rejected before any step is applied, not partway through.</w:t>
      </w:r>
    </w:p>
    <w:p>
      <w:pPr>
        <w:pStyle w:val="Heading3"/>
        <w:spacing w:after="100" w:before="180"/>
      </w:pPr>
      <w:r>
        <w:t xml:space="preserve">Isolation</w:t>
      </w:r>
    </w:p>
    <w:p>
      <w:pPr>
        <w:spacing w:after="160"/>
      </w:pPr>
      <w:r>
        <w:rPr>
          <w:b w:val="false"/>
          <w:bCs w:val="false"/>
          <w:i w:val="false"/>
          <w:iCs w:val="false"/>
        </w:rPr>
        <w:t xml:space="preserve">If two separate transfers both involving the same fromAccountId happen at effectively the same moment, FirstTrust's system processes them as though one completed entirely before the other started, rather than interleaving their individual steps — this prevents a race condition where both transfers might read the same starting balance.</w:t>
      </w:r>
    </w:p>
    <w:p>
      <w:pPr>
        <w:pStyle w:val="Heading3"/>
        <w:spacing w:after="100" w:before="180"/>
      </w:pPr>
      <w:r>
        <w:t xml:space="preserve">Durability</w:t>
      </w:r>
    </w:p>
    <w:p>
      <w:pPr>
        <w:spacing w:after="160"/>
      </w:pPr>
      <w:r>
        <w:rPr>
          <w:b w:val="false"/>
          <w:bCs w:val="false"/>
          <w:i w:val="false"/>
          <w:iCs w:val="false"/>
        </w:rPr>
        <w:t xml:space="preserve">Once a transfer has committed, the change survives even if FirstTrust's server crashes one second later — durability guarantees the update has been permanently written, not just held in memory.</w:t>
      </w:r>
    </w:p>
    <w:p>
      <w:pPr>
        <w:pStyle w:val="Heading2"/>
        <w:spacing w:after="120" w:before="240"/>
      </w:pPr>
      <w:r>
        <w:t xml:space="preserve">Indexing — FirstTrust's account lookup problem</w:t>
      </w:r>
    </w:p>
    <w:p>
      <w:pPr>
        <w:spacing w:after="160"/>
      </w:pPr>
      <w:r>
        <w:rPr>
          <w:b w:val="false"/>
          <w:bCs w:val="false"/>
          <w:i w:val="false"/>
          <w:iCs w:val="false"/>
        </w:rPr>
        <w:t xml:space="preserve">FirstTrust's engineers noticed that looking up an account by accountId became slow once the Accounts table grew past roughly 2 million rows. Adding a database index on the accountId column significantly sped up every transferFunds lookup. However, the lecture is specific that this same index also slightly slowed down FirstTrust's nightly batch job, which inserts approximately 50,000 new interest-calculation records every night — because every index on a table must also be updated whenever a new row is inserted, not just when the table is read from. This exact pair of numbers (2 million rows triggering the need for an index; 50,000 nightly inserts showing the write-side cost) is used specifically to illustrate the general read-speed-versus-write-speed trade-off of indexing.</w:t>
      </w:r>
    </w:p>
    <w:p>
      <w:pPr>
        <w:pStyle w:val="Heading2"/>
        <w:spacing w:after="120" w:before="240"/>
      </w:pPr>
      <w:r>
        <w:t xml:space="preserve">Quiz format</w:t>
      </w:r>
    </w:p>
    <w:p>
      <w:pPr>
        <w:spacing w:after="160"/>
      </w:pPr>
      <w:r>
        <w:rPr>
          <w:b w:val="false"/>
          <w:bCs w:val="false"/>
          <w:i w:val="false"/>
          <w:iCs w:val="false"/>
        </w:rPr>
        <w:t xml:space="preserve">10 multiple-choice questions and 2 short-answer questions applying the ACID properties to a scenario based on the transferFunds example above. Completed online, 20-minute time limit, one attempt.</w:t>
      </w:r>
    </w:p>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APA 7th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2026-09-25T03:21:35.087Z</dcterms:created>
  <dcterms:modified xsi:type="dcterms:W3CDTF">2026-09-25T03:21:35.087Z</dcterms:modified>
</cp:coreProperties>
</file>

<file path=docProps/custom.xml><?xml version="1.0" encoding="utf-8"?>
<Properties xmlns="http://schemas.openxmlformats.org/officeDocument/2006/custom-properties" xmlns:vt="http://schemas.openxmlformats.org/officeDocument/2006/docPropsVTypes"/>
</file>