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ITEC002 Quiz 1 — SQL Basics</w:t>
      </w:r>
    </w:p>
    <w:p>
      <w:pPr>
        <w:spacing w:after="160"/>
      </w:pPr>
      <w:r>
        <w:rPr>
          <w:b/>
          <w:bCs/>
          <w:i w:val="false"/>
          <w:iCs w:val="false"/>
        </w:rPr>
        <w:t xml:space="preserve">Course: ITEC002 — Database Systems</w:t>
      </w:r>
    </w:p>
    <w:p>
      <w:pPr>
        <w:spacing w:after="160"/>
      </w:pPr>
      <w:r>
        <w:rPr>
          <w:b/>
          <w:bCs/>
          <w:i w:val="false"/>
          <w:iCs w:val="false"/>
        </w:rPr>
        <w:t xml:space="preserve">Category: Quiz</w:t>
      </w:r>
    </w:p>
    <w:p>
      <w:pPr>
        <w:spacing w:after="160"/>
      </w:pPr>
      <w:r>
        <w:rPr>
          <w:b/>
          <w:bCs/>
          <w:i w:val="false"/>
          <w:iCs w:val="false"/>
        </w:rPr>
        <w:t xml:space="preserve">Due date: Friday, 2 October 2026, 11:59 PM</w:t>
      </w:r>
    </w:p>
    <w:p>
      <w:pPr>
        <w:spacing w:after="160"/>
      </w:pPr>
      <w:r>
        <w:rPr>
          <w:b w:val="false"/>
          <w:bCs w:val="false"/>
          <w:i w:val="false"/>
          <w:iCs w:val="false"/>
        </w:rPr>
        <w:t xml:space="preserve">Weighting: 5% of final grade</w:t>
      </w:r>
    </w:p>
    <w:p>
      <w:pPr>
        <w:pStyle w:val="Heading2"/>
        <w:spacing w:after="120" w:before="240"/>
      </w:pPr>
      <w:r>
        <w:t xml:space="preserve">Learning outcomes addressed</w:t>
      </w:r>
    </w:p>
    <w:p>
      <w:pPr>
        <w:pStyle w:val="ListParagraph"/>
        <w:numPr>
          <w:ilvl w:val="0"/>
          <w:numId w:val="1"/>
        </w:numPr>
        <w:spacing w:after="100"/>
      </w:pPr>
      <w:r>
        <w:t xml:space="preserve">Write and interpret basic SELECT, WHERE, and JOIN queries.</w:t>
      </w:r>
    </w:p>
    <w:p>
      <w:pPr>
        <w:pStyle w:val="ListParagraph"/>
        <w:numPr>
          <w:ilvl w:val="0"/>
          <w:numId w:val="1"/>
        </w:numPr>
        <w:spacing w:after="100"/>
      </w:pPr>
      <w:r>
        <w:t xml:space="preserve">Explain the effect of sorting and limiting clauses on query results.</w:t>
      </w:r>
    </w:p>
    <w:p>
      <w:pPr>
        <w:pStyle w:val="Heading2"/>
        <w:spacing w:after="120" w:before="240"/>
      </w:pPr>
      <w:r>
        <w:t xml:space="preserve">Introduction</w:t>
      </w:r>
    </w:p>
    <w:p>
      <w:pPr>
        <w:spacing w:after="160"/>
      </w:pPr>
      <w:r>
        <w:rPr>
          <w:b w:val="false"/>
          <w:bCs w:val="false"/>
          <w:i w:val="false"/>
          <w:iCs w:val="false"/>
        </w:rPr>
        <w:t xml:space="preserve">This quiz assesses your ability to read and write basic SQL queries. As with all quizzes and tests in this unit, every example is drawn from one running scenario used throughout Weeks 1–3: the GreenLeaf Cafe database. You are expected to know this exact schema, not just SQL syntax in general.</w:t>
      </w:r>
    </w:p>
    <w:p>
      <w:pPr>
        <w:pStyle w:val="Heading2"/>
        <w:spacing w:after="120" w:before="240"/>
      </w:pPr>
      <w:r>
        <w:t xml:space="preserve">The GreenLeaf Cafe database</w:t>
      </w:r>
    </w:p>
    <w:p>
      <w:pPr>
        <w:spacing w:after="160"/>
      </w:pPr>
      <w:r>
        <w:rPr>
          <w:b w:val="false"/>
          <w:bCs w:val="false"/>
          <w:i w:val="false"/>
          <w:iCs w:val="false"/>
        </w:rPr>
        <w:t xml:space="preserve">GreenLeaf Cafe is a fictional cafe used throughout this course's SQL examples. Its database has exactly these three tables:</w:t>
      </w:r>
    </w:p>
    <w:p>
      <w:pPr>
        <w:spacing w:after="100"/>
        <w:ind w:left="260"/>
      </w:pPr>
      <w:r>
        <w:rPr>
          <w:rFonts w:ascii="Consolas" w:cs="Consolas" w:eastAsia="Consolas" w:hAnsi="Consolas"/>
          <w:sz w:val="21"/>
          <w:szCs w:val="21"/>
        </w:rPr>
        <w:t xml:space="preserve">Customers(customerId, firstName, loyaltyTier)</w:t>
      </w:r>
    </w:p>
    <w:p>
      <w:pPr>
        <w:spacing w:after="100"/>
        <w:ind w:left="260"/>
      </w:pPr>
      <w:r>
        <w:rPr>
          <w:rFonts w:ascii="Consolas" w:cs="Consolas" w:eastAsia="Consolas" w:hAnsi="Consolas"/>
          <w:sz w:val="21"/>
          <w:szCs w:val="21"/>
        </w:rPr>
        <w:t xml:space="preserve">MenuItems(itemId, itemName, price, category)</w:t>
      </w:r>
    </w:p>
    <w:p>
      <w:pPr>
        <w:spacing w:after="100"/>
        <w:ind w:left="260"/>
      </w:pPr>
      <w:r>
        <w:rPr>
          <w:rFonts w:ascii="Consolas" w:cs="Consolas" w:eastAsia="Consolas" w:hAnsi="Consolas"/>
          <w:sz w:val="21"/>
          <w:szCs w:val="21"/>
        </w:rPr>
        <w:t xml:space="preserve">Orders(orderId, customerId, itemId, quantity, orderDate)</w:t>
      </w:r>
    </w:p>
    <w:p>
      <w:pPr>
        <w:spacing w:after="160"/>
      </w:pPr>
      <w:r>
        <w:rPr>
          <w:b w:val="false"/>
          <w:bCs w:val="false"/>
          <w:i w:val="false"/>
          <w:iCs w:val="false"/>
        </w:rPr>
        <w:t xml:space="preserve">loyaltyTier is a text column with exactly three possible values used consistently throughout this course: 'Bronze', 'Silver', and 'Gold' — capitalised exactly as shown. This capitalisation matters directly for exact-match WHERE clauses, since SQL string comparisons in this course's examples are case-sensitive.</w:t>
      </w:r>
    </w:p>
    <w:p>
      <w:pPr>
        <w:pStyle w:val="Heading2"/>
        <w:spacing w:after="120" w:before="240"/>
      </w:pPr>
      <w:r>
        <w:t xml:space="preserve">Retrieving data with SELECT</w:t>
      </w:r>
    </w:p>
    <w:p>
      <w:pPr>
        <w:spacing w:after="160"/>
      </w:pPr>
      <w:r>
        <w:rPr>
          <w:b w:val="false"/>
          <w:bCs w:val="false"/>
          <w:i w:val="false"/>
          <w:iCs w:val="false"/>
        </w:rPr>
        <w:t xml:space="preserve">This week's core example query retrieves the name and price of every beverage on the menu:</w:t>
      </w:r>
    </w:p>
    <w:p>
      <w:pPr>
        <w:spacing w:after="100"/>
        <w:ind w:left="260"/>
      </w:pPr>
      <w:r>
        <w:rPr>
          <w:rFonts w:ascii="Consolas" w:cs="Consolas" w:eastAsia="Consolas" w:hAnsi="Consolas"/>
          <w:sz w:val="21"/>
          <w:szCs w:val="21"/>
        </w:rPr>
        <w:t xml:space="preserve">SELECT itemName, price FROM MenuItems WHERE category = 'Beverage';</w:t>
      </w:r>
    </w:p>
    <w:p>
      <w:pPr>
        <w:spacing w:after="160"/>
      </w:pPr>
      <w:r>
        <w:rPr>
          <w:b w:val="false"/>
          <w:bCs w:val="false"/>
          <w:i w:val="false"/>
          <w:iCs w:val="false"/>
        </w:rPr>
        <w:t xml:space="preserve">Note this returns only two columns, not every column in the table. A common mistake highlighted in lectures is writing SELECT * here instead, which would also return itemId and category — columns that weren't actually asked for in this particular report.</w:t>
      </w:r>
    </w:p>
    <w:p>
      <w:pPr>
        <w:pStyle w:val="Heading2"/>
        <w:spacing w:after="120" w:before="240"/>
      </w:pPr>
      <w:r>
        <w:t xml:space="preserve">Filtering with WHERE — the Gold-tier discount example</w:t>
      </w:r>
    </w:p>
    <w:p>
      <w:pPr>
        <w:spacing w:after="160"/>
      </w:pPr>
      <w:r>
        <w:rPr>
          <w:b w:val="false"/>
          <w:bCs w:val="false"/>
          <w:i w:val="false"/>
          <w:iCs w:val="false"/>
        </w:rPr>
        <w:t xml:space="preserve">GreenLeaf's Gold-tier customers receive a loyalty discount. The lecture's example query for identifying eligible customers is:</w:t>
      </w:r>
    </w:p>
    <w:p>
      <w:pPr>
        <w:spacing w:after="100"/>
        <w:ind w:left="260"/>
      </w:pPr>
      <w:r>
        <w:rPr>
          <w:rFonts w:ascii="Consolas" w:cs="Consolas" w:eastAsia="Consolas" w:hAnsi="Consolas"/>
          <w:sz w:val="21"/>
          <w:szCs w:val="21"/>
        </w:rPr>
        <w:t xml:space="preserve">SELECT * FROM Customers WHERE loyaltyTier = 'Gold' AND firstName IS NOT NULL;</w:t>
      </w:r>
    </w:p>
    <w:p>
      <w:pPr>
        <w:spacing w:after="160"/>
      </w:pPr>
      <w:r>
        <w:rPr>
          <w:b w:val="false"/>
          <w:bCs w:val="false"/>
          <w:i w:val="false"/>
          <w:iCs w:val="false"/>
        </w:rPr>
        <w:t xml:space="preserve">The AND clause here is deliberately redundant, and this is explained explicitly in lectures: firstName IS NOT NULL is always true for every row in this table, since firstName is a required field that can never be empty. The example exists specifically to illustrate that AND requires both sides of the condition to be true, even in a case like this one where one side is trivially always true — not to suggest that redundant conditions are good practice.</w:t>
      </w:r>
    </w:p>
    <w:p>
      <w:pPr>
        <w:pStyle w:val="Heading2"/>
        <w:spacing w:after="120" w:before="240"/>
      </w:pPr>
      <w:r>
        <w:t xml:space="preserve">Joining tables — the exact GreenLeaf join example</w:t>
      </w:r>
    </w:p>
    <w:p>
      <w:pPr>
        <w:spacing w:after="160"/>
      </w:pPr>
      <w:r>
        <w:rPr>
          <w:b w:val="false"/>
          <w:bCs w:val="false"/>
          <w:i w:val="false"/>
          <w:iCs w:val="false"/>
        </w:rPr>
        <w:t xml:space="preserve">The core JOIN example used in lectures retrieves each customer's name alongside the date of their orders:</w:t>
      </w:r>
    </w:p>
    <w:p>
      <w:pPr>
        <w:spacing w:after="100"/>
        <w:ind w:left="260"/>
      </w:pPr>
      <w:r>
        <w:rPr>
          <w:rFonts w:ascii="Consolas" w:cs="Consolas" w:eastAsia="Consolas" w:hAnsi="Consolas"/>
          <w:sz w:val="21"/>
          <w:szCs w:val="21"/>
        </w:rPr>
        <w:t xml:space="preserve">SELECT Customers.firstName, Orders.orderDate</w:t>
      </w:r>
    </w:p>
    <w:p>
      <w:pPr>
        <w:spacing w:after="100"/>
        <w:ind w:left="260"/>
      </w:pPr>
      <w:r>
        <w:rPr>
          <w:rFonts w:ascii="Consolas" w:cs="Consolas" w:eastAsia="Consolas" w:hAnsi="Consolas"/>
          <w:sz w:val="21"/>
          <w:szCs w:val="21"/>
        </w:rPr>
        <w:t xml:space="preserve">FROM Customers</w:t>
      </w:r>
    </w:p>
    <w:p>
      <w:pPr>
        <w:spacing w:after="100"/>
        <w:ind w:left="260"/>
      </w:pPr>
      <w:r>
        <w:rPr>
          <w:rFonts w:ascii="Consolas" w:cs="Consolas" w:eastAsia="Consolas" w:hAnsi="Consolas"/>
          <w:sz w:val="21"/>
          <w:szCs w:val="21"/>
        </w:rPr>
        <w:t xml:space="preserve">INNER JOIN Orders ON Customers.customerId = Orders.customerId;</w:t>
      </w:r>
    </w:p>
    <w:p>
      <w:pPr>
        <w:spacing w:after="160"/>
      </w:pPr>
      <w:r>
        <w:rPr>
          <w:b w:val="false"/>
          <w:bCs w:val="false"/>
          <w:i w:val="false"/>
          <w:iCs w:val="false"/>
        </w:rPr>
        <w:t xml:space="preserve">This query returns one row per order, not one row per customer — a customer who has placed 3 orders will appear 3 times in the result, once per order. Lectures explicitly flag this as a common point of confusion for students new to SQL, since it differs from how a spreadsheet lookup might intuitively behave.</w:t>
      </w:r>
    </w:p>
    <w:p>
      <w:pPr>
        <w:pStyle w:val="Heading2"/>
        <w:spacing w:after="120" w:before="240"/>
      </w:pPr>
      <w:r>
        <w:t xml:space="preserve">Sorting and limiting — GreenLeaf's 'top orders' report</w:t>
      </w:r>
    </w:p>
    <w:p>
      <w:pPr>
        <w:spacing w:after="160"/>
      </w:pPr>
      <w:r>
        <w:rPr>
          <w:b w:val="false"/>
          <w:bCs w:val="false"/>
          <w:i w:val="false"/>
          <w:iCs w:val="false"/>
        </w:rPr>
        <w:t xml:space="preserve">GreenLeaf's manager regularly wants to see the 5 most recent orders placed. The lecture's example for this is:</w:t>
      </w:r>
    </w:p>
    <w:p>
      <w:pPr>
        <w:spacing w:after="100"/>
        <w:ind w:left="260"/>
      </w:pPr>
      <w:r>
        <w:rPr>
          <w:rFonts w:ascii="Consolas" w:cs="Consolas" w:eastAsia="Consolas" w:hAnsi="Consolas"/>
          <w:sz w:val="21"/>
          <w:szCs w:val="21"/>
        </w:rPr>
        <w:t xml:space="preserve">SELECT * FROM Orders ORDER BY orderDate DESC LIMIT 5;</w:t>
      </w:r>
    </w:p>
    <w:p>
      <w:pPr>
        <w:spacing w:after="160"/>
      </w:pPr>
      <w:r>
        <w:rPr>
          <w:b w:val="false"/>
          <w:bCs w:val="false"/>
          <w:i w:val="false"/>
          <w:iCs w:val="false"/>
        </w:rPr>
        <w:t xml:space="preserve">Lectures stress that DESC is essential here. Without it, ORDER BY orderDate on its own defaults to ascending order, meaning LIMIT 5 would instead return the 5 oldest orders in the entire table — the exact opposite of what the manager actually wants.</w:t>
      </w:r>
    </w:p>
    <w:p>
      <w:pPr>
        <w:pStyle w:val="Heading2"/>
        <w:spacing w:after="120" w:before="240"/>
      </w:pPr>
      <w:r>
        <w:t xml:space="preserve">Quiz format</w:t>
      </w:r>
    </w:p>
    <w:p>
      <w:pPr>
        <w:spacing w:after="160"/>
      </w:pPr>
      <w:r>
        <w:rPr>
          <w:b w:val="false"/>
          <w:bCs w:val="false"/>
          <w:i w:val="false"/>
          <w:iCs w:val="false"/>
        </w:rPr>
        <w:t xml:space="preserve">10 multiple-choice questions and 3 questions asking you to write a short SQL query against the GreenLeaf Cafe schema above. Completed online, 20-minute time limit, one attempt.</w:t>
      </w:r>
    </w:p>
    <w:p>
      <w:pPr>
        <w:pStyle w:val="Heading2"/>
        <w:spacing w:after="120" w:before="240"/>
      </w:pPr>
      <w:r>
        <w:t xml:space="preserve">Referencing</w:t>
      </w:r>
    </w:p>
    <w:p>
      <w:pPr>
        <w:spacing w:after="160"/>
      </w:pPr>
      <w:r>
        <w:rPr>
          <w:b w:val="false"/>
          <w:bCs w:val="false"/>
          <w:i w:val="false"/>
          <w:iCs w:val="false"/>
        </w:rPr>
        <w:t xml:space="preserve">Any external sources used (outside of lecture material) must be cited in APA 7th style, including in-text citations and a reference list.</w:t>
      </w:r>
    </w:p>
    <w:p>
      <w:pPr>
        <w:pStyle w:val="Heading2"/>
        <w:spacing w:after="120" w:before="240"/>
      </w:pPr>
      <w:r>
        <w:t xml:space="preserve">Academic integrity</w:t>
      </w:r>
    </w:p>
    <w:p>
      <w:pPr>
        <w:spacing w:after="160"/>
      </w:pPr>
      <w:r>
        <w:rPr>
          <w:b w:val="false"/>
          <w:bCs w:val="false"/>
          <w:i w:val="false"/>
          <w:iCs w:val="false"/>
        </w:rPr>
        <w:t xml:space="preserve">This is an individual assessment. You may discuss general concepts with classmates, but all written work, diagrams, and code must be your own. Submissions are checked using similarity-detection software. Suspected breaches are referred to the unit's Academic Integrity process.</w:t>
      </w:r>
    </w:p>
    <w:p>
      <w:pPr>
        <w:pStyle w:val="Heading2"/>
        <w:spacing w:after="120" w:before="240"/>
      </w:pPr>
      <w:r>
        <w:t xml:space="preserve">Late submission policy</w:t>
      </w:r>
    </w:p>
    <w:p>
      <w:pPr>
        <w:spacing w:after="160"/>
      </w:pPr>
      <w:r>
        <w:rPr>
          <w:b w:val="false"/>
          <w:bCs w:val="false"/>
          <w:i w:val="false"/>
          <w:iCs w:val="false"/>
        </w:rPr>
        <w:t xml:space="preserve">Late submissions are penalised at 5% of the total available marks per calendar day, up to a maximum of 5 days late. Submissions more than 5 days late will not be accepted without an approved extension. Extension requests must be submitted at least 24 hours before the due date via the unit's extension request form.</w:t>
      </w:r>
    </w:p>
    <w:p>
      <w:pPr>
        <w:pStyle w:val="Heading2"/>
        <w:spacing w:after="120" w:before="240"/>
      </w:pPr>
      <w:r>
        <w:t xml:space="preserve">Getting help</w:t>
      </w:r>
    </w:p>
    <w:p>
      <w:pPr>
        <w:spacing w:after="160"/>
      </w:pPr>
      <w:r>
        <w:rPr>
          <w:b w:val="false"/>
          <w:bCs w:val="false"/>
          <w:i w:val="false"/>
          <w:iCs w:val="false"/>
        </w:rPr>
        <w:t xml:space="preserve">Questions about this assessment can be raised in the weekly workshop, on the unit's discussion forum, or during consultation hours. Please do not leave questions until the day before the due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2026-09-25T03:21:35.039Z</dcterms:created>
  <dcterms:modified xsi:type="dcterms:W3CDTF">2026-09-25T03:21:35.039Z</dcterms:modified>
</cp:coreProperties>
</file>

<file path=docProps/custom.xml><?xml version="1.0" encoding="utf-8"?>
<Properties xmlns="http://schemas.openxmlformats.org/officeDocument/2006/custom-properties" xmlns:vt="http://schemas.openxmlformats.org/officeDocument/2006/docPropsVTypes"/>
</file>