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ITEC002 In-Class Test — Normalization &amp; Keys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Course: ITEC002 — Database Systems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Category: Test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Due date: Friday, 30 October 2026, 9:00 AM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Weighting: 15% of final grade</w:t>
      </w:r>
    </w:p>
    <w:p>
      <w:pPr>
        <w:pStyle w:val="Heading2"/>
        <w:spacing w:after="120" w:before="240"/>
      </w:pPr>
      <w:r>
        <w:t xml:space="preserve">Learning outcomes addressed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Identify primary keys, foreign keys, and candidate keys in a given schema.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Normalize an unnormalized table to at least Third Normal Form.</w:t>
      </w:r>
    </w:p>
    <w:p>
      <w:pPr>
        <w:pStyle w:val="Heading2"/>
        <w:spacing w:after="120" w:before="240"/>
      </w:pPr>
      <w:r>
        <w:t xml:space="preserve">Format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20 multiple-choice questions and 2 short-answer questions, completed in 45 minutes under exam conditions. No calculators or notes are needed or permitted.</w:t>
      </w:r>
    </w:p>
    <w:p>
      <w:pPr>
        <w:pStyle w:val="Heading2"/>
        <w:spacing w:after="120" w:before="240"/>
      </w:pPr>
      <w:r>
        <w:t xml:space="preserve">The unnormalized table this test is based 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test is built directly around one specific unnormalized table, referred to throughout lectures as the 'StudentCourses problem':</w:t>
      </w:r>
    </w:p>
    <w:p>
      <w:pPr>
        <w:spacing w:after="100"/>
        <w:ind w:left="260"/>
      </w:pPr>
      <w:r>
        <w:rPr>
          <w:rFonts w:ascii="Consolas" w:cs="Consolas" w:eastAsia="Consolas" w:hAnsi="Consolas"/>
          <w:sz w:val="21"/>
          <w:szCs w:val="21"/>
        </w:rPr>
        <w:t xml:space="preserve">StudentCourses(studentId, studentName, course1, course2, course3)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design is used specifically to illustrate why repeating groups — here, the columns course1, course2, and course3 — violate First Normal Form. Two specific problems are called out in lectures: first, a student taking a 4th course has nowhere to record it without adding yet another column; second, answering a simple question like 'which students are enrolled in course X' requires checking three separate columns instead of one, and the query only gets messier as more course columns are added.</w:t>
      </w:r>
    </w:p>
    <w:p>
      <w:pPr>
        <w:pStyle w:val="Heading3"/>
        <w:spacing w:after="100" w:before="180"/>
      </w:pPr>
      <w:r>
        <w:t xml:space="preserve">The expected 1NF redesign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lecture's expected solution splits this into two tables: a Students table (studentId, studentName) and a separate Enrolments table (studentId, courseName), with one row per student-course pairing rather than one row per student. At least one short-answer question will ask you to produce exactly this redesign, or a schema equivalent to it, for the StudentCourses table shown above.</w:t>
      </w:r>
    </w:p>
    <w:p>
      <w:pPr>
        <w:pStyle w:val="Heading2"/>
        <w:spacing w:after="120" w:before="240"/>
      </w:pPr>
      <w:r>
        <w:t xml:space="preserve">Topics covered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Primary keys, foreign keys, and candidate keys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First Normal Form — specifically the StudentCourses repeating-group problem and its expected redesign, shown above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Second and Third Normal Form, including partial and transitive dependencies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Functional dependencies, using the GreenLeaf Cafe MenuItems table (itemId, itemName, price, category) from Quiz 1 as a worked example of identifying which columns functionally depend on itemId</w:t>
      </w:r>
    </w:p>
    <w:p>
      <w:pPr>
        <w:pStyle w:val="Heading2"/>
        <w:spacing w:after="120" w:before="240"/>
      </w:pPr>
      <w:r>
        <w:t xml:space="preserve">How to prepare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Review Weeks 4–6 lecture notes, with particular focus on the StudentCourses redesign exercise completed in the Week 5 workshop. Bring a pen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2026-09-25T03:21:35.078Z</dcterms:created>
  <dcterms:modified xsi:type="dcterms:W3CDTF">2026-09-25T03:21:35.078Z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