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ITEC003 In-Class Test — Security &amp; Protocols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Course: ITEC003 — Computer Networks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Category: Test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Due date: Sunday, 29 November 2026, 9:00 AM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Weighting: 15% of final grade</w:t>
      </w:r>
    </w:p>
    <w:p>
      <w:pPr>
        <w:pStyle w:val="Heading2"/>
        <w:spacing w:after="120" w:before="240"/>
      </w:pPr>
      <w:r>
        <w:t xml:space="preserve">Learning outcomes addressed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Identify common network attack types and appropriate countermeasures.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Explain the role of HTTPS, firewalls, and VPNs in a real-world security scenario.</w:t>
      </w:r>
    </w:p>
    <w:p>
      <w:pPr>
        <w:pStyle w:val="Heading2"/>
        <w:spacing w:after="120" w:before="240"/>
      </w:pPr>
      <w:r>
        <w:t xml:space="preserve">Format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20 multiple-choice questions, completed in 40 minutes under exam conditions. This is the final assessment for ITEC003 and covers material from the entire unit, with a deliberate emphasis on the last four weeks.</w:t>
      </w:r>
    </w:p>
    <w:p>
      <w:pPr>
        <w:pStyle w:val="Heading2"/>
        <w:spacing w:after="120" w:before="240"/>
      </w:pPr>
      <w:r>
        <w:t xml:space="preserve">The Week 9 case study this test is based 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significant portion of this test is based directly on the Week 9 case study, which you should review in detail before attempting this test. The case study describes a phishing email received by staff at Bright Horizons Accounting Firm — the same fictional firm used in the Assignment 1 network design brief for this unit. The phishing email impersonated the address IT-Support@brighthorizons-accounting.com, and asked staff to 'verify their password' by clicking through to a fake login page.</w:t>
      </w:r>
    </w:p>
    <w:p>
      <w:pPr>
        <w:pStyle w:val="Heading3"/>
        <w:spacing w:after="100" w:before="180"/>
      </w:pPr>
      <w:r>
        <w:t xml:space="preserve">The specific red flags identified in the case study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sender's domain used a hyphen — brighthorizons-accounting.com — rather than the firm's actual, real domain, brighthorizonsaccounting.com (no hyphen).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fake login page linked from the email used plain HTTP, not HTTPS — meaning there was no padlock icon shown in the browser's address bar, which lectures specifically call out as something every staff member should be trained to check before entering a password anywhere.</w:t>
      </w:r>
    </w:p>
    <w:p>
      <w:pPr>
        <w:pStyle w:val="Heading2"/>
        <w:spacing w:after="120" w:before="240"/>
      </w:pPr>
      <w:r>
        <w:t xml:space="preserve">Topics covered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HTTP vs HTTPS, and specifically why the missing padlock icon in the Week 9 case study was a genuine, checkable red flag rather than a subtle technical detail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Firewalls and what kind of traffic they actually filter — including the specific question of whether a firewall would have blocked the Week 9 phishing email itself (it would not have, since firewalls filter network traffic based on rules like IP addresses and ports, not the content of an email message)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Common attack types: phishing (using the Week 9 case study specifically as the worked example), denial of service, and man-in-the-middle attacks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VPNs, and specifically why Bright Horizons requires remote staff to use one when accessing the Accounting department's subnet from home, per the network design established in Assignment 1</w:t>
      </w:r>
    </w:p>
    <w:p>
      <w:pPr>
        <w:pStyle w:val="Heading2"/>
        <w:spacing w:after="120" w:before="240"/>
      </w:pPr>
      <w:r>
        <w:t xml:space="preserve">How to prepare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Review the full Week 9 case study document and lecture recording, along with your own Assignment 1 network design, since several questions connect the two directly. General revision of Weeks 1–9 lecture material is also expected.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2026-09-25T03:21:35.114Z</dcterms:created>
  <dcterms:modified xsi:type="dcterms:W3CDTF">2026-09-25T03:21:35.114Z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