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ITEC003 Assignment 1 — Bright Horizons Accounting Firm Network Design</w:t>
      </w:r>
    </w:p>
    <w:p>
      <w:pPr>
        <w:spacing w:after="160"/>
      </w:pPr>
      <w:r>
        <w:rPr>
          <w:b/>
          <w:bCs/>
          <w:i w:val="false"/>
          <w:iCs w:val="false"/>
        </w:rPr>
        <w:t xml:space="preserve">Course: ITEC003 — Computer Networks</w:t>
      </w:r>
    </w:p>
    <w:p>
      <w:pPr>
        <w:spacing w:after="160"/>
      </w:pPr>
      <w:r>
        <w:rPr>
          <w:b/>
          <w:bCs/>
          <w:i w:val="false"/>
          <w:iCs w:val="false"/>
        </w:rPr>
        <w:t xml:space="preserve">Category: Report</w:t>
      </w:r>
    </w:p>
    <w:p>
      <w:pPr>
        <w:spacing w:after="160"/>
      </w:pPr>
      <w:r>
        <w:rPr>
          <w:b/>
          <w:bCs/>
          <w:i w:val="false"/>
          <w:iCs w:val="false"/>
        </w:rPr>
        <w:t xml:space="preserve">Due date: Friday, 20 November 2026, 11:59 PM</w:t>
      </w:r>
    </w:p>
    <w:p>
      <w:pPr>
        <w:spacing w:after="160"/>
      </w:pPr>
      <w:r>
        <w:rPr>
          <w:b w:val="false"/>
          <w:bCs w:val="false"/>
          <w:i w:val="false"/>
          <w:iCs w:val="false"/>
        </w:rPr>
        <w:t xml:space="preserve">Weighting: 20% of final grade</w:t>
      </w:r>
    </w:p>
    <w:p>
      <w:pPr>
        <w:pStyle w:val="Heading2"/>
        <w:spacing w:after="120" w:before="240"/>
      </w:pPr>
      <w:r>
        <w:t xml:space="preserve">Learning outcomes addressed</w:t>
      </w:r>
    </w:p>
    <w:p>
      <w:pPr>
        <w:pStyle w:val="ListParagraph"/>
        <w:numPr>
          <w:ilvl w:val="0"/>
          <w:numId w:val="1"/>
        </w:numPr>
        <w:spacing w:after="100"/>
      </w:pPr>
      <w:r>
        <w:t xml:space="preserve">Design a subnetted network to meet a specific set of organisational requirements.</w:t>
      </w:r>
    </w:p>
    <w:p>
      <w:pPr>
        <w:pStyle w:val="ListParagraph"/>
        <w:numPr>
          <w:ilvl w:val="0"/>
          <w:numId w:val="1"/>
        </w:numPr>
        <w:spacing w:after="100"/>
      </w:pPr>
      <w:r>
        <w:t xml:space="preserve">Apply network segmentation as a security control.</w:t>
      </w:r>
    </w:p>
    <w:p>
      <w:pPr>
        <w:pStyle w:val="ListParagraph"/>
        <w:numPr>
          <w:ilvl w:val="0"/>
          <w:numId w:val="1"/>
        </w:numPr>
        <w:spacing w:after="100"/>
      </w:pPr>
      <w:r>
        <w:t xml:space="preserve">Communicate a network design using an appropriate diagram and supporting written explanation.</w:t>
      </w:r>
    </w:p>
    <w:p>
      <w:pPr>
        <w:pStyle w:val="Heading2"/>
        <w:spacing w:after="120" w:before="240"/>
      </w:pPr>
      <w:r>
        <w:t xml:space="preserve">Background</w:t>
      </w:r>
    </w:p>
    <w:p>
      <w:pPr>
        <w:spacing w:after="160"/>
      </w:pPr>
      <w:r>
        <w:rPr>
          <w:b w:val="false"/>
          <w:bCs w:val="false"/>
          <w:i w:val="false"/>
          <w:iCs w:val="false"/>
        </w:rPr>
        <w:t xml:space="preserve">Bright Horizons Accounting Firm is a fictional accounting practice that has outgrown its original flat, unsegmented office network and has engaged you, in the role of a contracted network designer, to produce a new network design ahead of an office move. This assignment simulates that engagement.</w:t>
      </w:r>
    </w:p>
    <w:p>
      <w:pPr>
        <w:pStyle w:val="Heading2"/>
        <w:spacing w:after="120" w:before="240"/>
      </w:pPr>
      <w:r>
        <w:t xml:space="preserve">The exact scenario you must design for</w:t>
      </w:r>
    </w:p>
    <w:p>
      <w:pPr>
        <w:spacing w:after="160"/>
      </w:pPr>
      <w:r>
        <w:rPr>
          <w:b w:val="false"/>
          <w:bCs w:val="false"/>
          <w:i w:val="false"/>
          <w:iCs w:val="false"/>
        </w:rPr>
        <w:t xml:space="preserve">Bright Horizons has exactly three internal departments you must account for in your design: Accounting (12 staff), Client Services (6 staff), and IT/Admin (2 staff). In addition, the firm requires a guest WiFi network for visiting clients. Bright Horizons' one non-negotiable requirement, stated directly by their office manager, is that guest WiFi traffic must never be able to reach the internal file server under any circumstances — this single requirement should shape a significant part of your design.</w:t>
      </w:r>
    </w:p>
    <w:p>
      <w:pPr>
        <w:pStyle w:val="Heading2"/>
        <w:spacing w:after="120" w:before="240"/>
      </w:pPr>
      <w:r>
        <w:t xml:space="preserve">Required sections of your report</w:t>
      </w:r>
    </w:p>
    <w:p>
      <w:pPr>
        <w:pStyle w:val="ListParagraph"/>
        <w:numPr>
          <w:ilvl w:val="0"/>
          <w:numId w:val="1"/>
        </w:numPr>
        <w:spacing w:after="100"/>
      </w:pPr>
      <w:r>
        <w:t xml:space="preserve">Introduction (approx. 150 words) — describe Bright Horizons and its three departments listed above, and briefly state the guest network requirement.</w:t>
      </w:r>
    </w:p>
    <w:p>
      <w:pPr>
        <w:pStyle w:val="ListParagraph"/>
        <w:numPr>
          <w:ilvl w:val="0"/>
          <w:numId w:val="1"/>
        </w:numPr>
        <w:spacing w:after="100"/>
      </w:pPr>
      <w:r>
        <w:t xml:space="preserve">Network diagram — show all major devices (routers, switches, access points, the file server), and show the guest WiFi network as clearly and demonstrably separated from the internal departments, whether physically or logically (e.g. via VLANs).</w:t>
      </w:r>
    </w:p>
    <w:p>
      <w:pPr>
        <w:pStyle w:val="ListParagraph"/>
        <w:numPr>
          <w:ilvl w:val="0"/>
          <w:numId w:val="1"/>
        </w:numPr>
        <w:spacing w:after="100"/>
      </w:pPr>
      <w:r>
        <w:t xml:space="preserve">IP addressing plan (approx. 200 words plus a table) — propose a subnetting scheme that gives Accounting, Client Services, IT/Admin, and Guest WiFi each their own separate subnet, with enough addresses in each to comfortably cover current staff numbers plus reasonable future growth.</w:t>
      </w:r>
    </w:p>
    <w:p>
      <w:pPr>
        <w:pStyle w:val="ListParagraph"/>
        <w:numPr>
          <w:ilvl w:val="0"/>
          <w:numId w:val="1"/>
        </w:numPr>
        <w:spacing w:after="100"/>
      </w:pPr>
      <w:r>
        <w:t xml:space="preserve">Security considerations (approx. 300 words) — explain specifically, and in technical detail, how your design prevents guest WiFi traffic from reaching the internal file server, and describe at least one additional security measure beyond network segmentation.</w:t>
      </w:r>
    </w:p>
    <w:p>
      <w:pPr>
        <w:pStyle w:val="ListParagraph"/>
        <w:numPr>
          <w:ilvl w:val="0"/>
          <w:numId w:val="1"/>
        </w:numPr>
        <w:spacing w:after="100"/>
      </w:pPr>
      <w:r>
        <w:t xml:space="preserve">Reflection (approx. 200 words) — note any assumptions you made, and any limitations of your design (for example, what would need to change if Bright Horizons opened a second office).</w:t>
      </w:r>
    </w:p>
    <w:p>
      <w:pPr>
        <w:pStyle w:val="Heading2"/>
        <w:spacing w:after="120" w:before="240"/>
      </w:pPr>
      <w:r>
        <w:t xml:space="preserve">Marking rubric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E8E4DC" w:val="clear"/>
          </w:tcPr>
          <w:p>
            <w:r>
              <w:rPr>
                <w:b/>
                <w:bCs/>
              </w:rPr>
              <w:t xml:space="preserve">Criterion</w:t>
            </w:r>
          </w:p>
        </w:tc>
        <w:tc>
          <w:tcPr>
            <w:tcW w:type="dxa" w:w="2000"/>
            <w:shd w:fill="E8E4DC" w:val="clear"/>
          </w:tcPr>
          <w:p>
            <w:r>
              <w:rPr>
                <w:b/>
                <w:bCs/>
              </w:rPr>
              <w:t xml:space="preserve">Marks</w:t>
            </w:r>
          </w:p>
        </w:tc>
        <w:tc>
          <w:tcPr>
            <w:tcW w:type="dxa" w:w="5500"/>
            <w:shd w:fill="E8E4DC" w:val="clear"/>
          </w:tcPr>
          <w:p>
            <w:r>
              <w:rPr>
                <w:b/>
                <w:bCs/>
              </w:rPr>
              <w:t xml:space="preserve">What's expected</w:t>
            </w:r>
          </w:p>
        </w:tc>
      </w:tr>
      <w:tr>
        <w:tc>
          <w:tcPr>
            <w:tcW w:type="dxa" w:w="2000"/>
          </w:tcPr>
          <w:p>
            <w:r>
              <w:t xml:space="preserve">Department &amp; subnet count</w:t>
            </w:r>
          </w:p>
        </w:tc>
        <w:tc>
          <w:tcPr>
            <w:tcW w:type="dxa" w:w="2000"/>
          </w:tcPr>
          <w:p>
            <w:r>
              <w:t xml:space="preserve">20</w:t>
            </w:r>
          </w:p>
        </w:tc>
        <w:tc>
          <w:tcPr>
            <w:tcW w:type="dxa" w:w="5500"/>
          </w:tcPr>
          <w:p>
            <w:r>
              <w:t xml:space="preserve">Exactly 4 subnets matching the scenario (Accounting, Client Services, IT/Admin, Guest WiFi), not more or fewer.</w:t>
            </w:r>
          </w:p>
        </w:tc>
      </w:tr>
      <w:tr>
        <w:tc>
          <w:tcPr>
            <w:tcW w:type="dxa" w:w="2000"/>
          </w:tcPr>
          <w:p>
            <w:r>
              <w:t xml:space="preserve">Guest network isolation</w:t>
            </w:r>
          </w:p>
        </w:tc>
        <w:tc>
          <w:tcPr>
            <w:tcW w:type="dxa" w:w="2000"/>
          </w:tcPr>
          <w:p>
            <w:r>
              <w:t xml:space="preserve">30</w:t>
            </w:r>
          </w:p>
        </w:tc>
        <w:tc>
          <w:tcPr>
            <w:tcW w:type="dxa" w:w="5500"/>
          </w:tcPr>
          <w:p>
            <w:r>
              <w:t xml:space="preserve">Clear, technically sound explanation of how guest traffic is prevented from reaching the file server — this is the single most heavily weighted criterion, matching the firm's stated priority.</w:t>
            </w:r>
          </w:p>
        </w:tc>
      </w:tr>
      <w:tr>
        <w:tc>
          <w:tcPr>
            <w:tcW w:type="dxa" w:w="2000"/>
          </w:tcPr>
          <w:p>
            <w:r>
              <w:t xml:space="preserve">IP addressing plan</w:t>
            </w:r>
          </w:p>
        </w:tc>
        <w:tc>
          <w:tcPr>
            <w:tcW w:type="dxa" w:w="2000"/>
          </w:tcPr>
          <w:p>
            <w:r>
              <w:t xml:space="preserve">15</w:t>
            </w:r>
          </w:p>
        </w:tc>
        <w:tc>
          <w:tcPr>
            <w:tcW w:type="dxa" w:w="5500"/>
          </w:tcPr>
          <w:p>
            <w:r>
              <w:t xml:space="preserve">Subnet sizes are appropriate to each department's staff count with reasonable headroom for growth.</w:t>
            </w:r>
          </w:p>
        </w:tc>
      </w:tr>
      <w:tr>
        <w:tc>
          <w:tcPr>
            <w:tcW w:type="dxa" w:w="2000"/>
          </w:tcPr>
          <w:p>
            <w:r>
              <w:t xml:space="preserve">Diagram clarity</w:t>
            </w:r>
          </w:p>
        </w:tc>
        <w:tc>
          <w:tcPr>
            <w:tcW w:type="dxa" w:w="2000"/>
          </w:tcPr>
          <w:p>
            <w:r>
              <w:t xml:space="preserve">15</w:t>
            </w:r>
          </w:p>
        </w:tc>
        <w:tc>
          <w:tcPr>
            <w:tcW w:type="dxa" w:w="5500"/>
          </w:tcPr>
          <w:p>
            <w:r>
              <w:t xml:space="preserve">Diagram is clear, correctly labelled, and clearly shows guest network separation.</w:t>
            </w:r>
          </w:p>
        </w:tc>
      </w:tr>
      <w:tr>
        <w:tc>
          <w:tcPr>
            <w:tcW w:type="dxa" w:w="2000"/>
          </w:tcPr>
          <w:p>
            <w:r>
              <w:t xml:space="preserve">Written sections &amp; reflection</w:t>
            </w:r>
          </w:p>
        </w:tc>
        <w:tc>
          <w:tcPr>
            <w:tcW w:type="dxa" w:w="2000"/>
          </w:tcPr>
          <w:p>
            <w:r>
              <w:t xml:space="preserve">20</w:t>
            </w:r>
          </w:p>
        </w:tc>
        <w:tc>
          <w:tcPr>
            <w:tcW w:type="dxa" w:w="5500"/>
          </w:tcPr>
          <w:p>
            <w:r>
              <w:t xml:space="preserve">Clearly written, well-organised, and reflection is specific rather than generic.</w:t>
            </w:r>
          </w:p>
        </w:tc>
      </w:tr>
    </w:tbl>
    <w:p>
      <w:pPr>
        <w:pStyle w:val="Heading2"/>
        <w:spacing w:after="120" w:before="240"/>
      </w:pPr>
      <w:r>
        <w:t xml:space="preserve">Referencing</w:t>
      </w:r>
    </w:p>
    <w:p>
      <w:pPr>
        <w:spacing w:after="160"/>
      </w:pPr>
      <w:r>
        <w:rPr>
          <w:b w:val="false"/>
          <w:bCs w:val="false"/>
          <w:i w:val="false"/>
          <w:iCs w:val="false"/>
        </w:rPr>
        <w:t xml:space="preserve">Any external sources used (outside of lecture material) must be cited in IEEE style, including in-text citations and a reference list.</w:t>
      </w:r>
    </w:p>
    <w:p>
      <w:pPr>
        <w:pStyle w:val="Heading2"/>
        <w:spacing w:after="120" w:before="240"/>
      </w:pPr>
      <w:r>
        <w:t xml:space="preserve">Academic integrity</w:t>
      </w:r>
    </w:p>
    <w:p>
      <w:pPr>
        <w:spacing w:after="160"/>
      </w:pPr>
      <w:r>
        <w:rPr>
          <w:b w:val="false"/>
          <w:bCs w:val="false"/>
          <w:i w:val="false"/>
          <w:iCs w:val="false"/>
        </w:rPr>
        <w:t xml:space="preserve">This is an individual assessment. You may discuss general concepts with classmates, but all written work, diagrams, and code must be your own. Submissions are checked using similarity-detection software. Suspected breaches are referred to the unit's Academic Integrity process.</w:t>
      </w:r>
    </w:p>
    <w:p>
      <w:pPr>
        <w:pStyle w:val="Heading2"/>
        <w:spacing w:after="120" w:before="240"/>
      </w:pPr>
      <w:r>
        <w:t xml:space="preserve">Late submission policy</w:t>
      </w:r>
    </w:p>
    <w:p>
      <w:pPr>
        <w:spacing w:after="160"/>
      </w:pPr>
      <w:r>
        <w:rPr>
          <w:b w:val="false"/>
          <w:bCs w:val="false"/>
          <w:i w:val="false"/>
          <w:iCs w:val="false"/>
        </w:rPr>
        <w:t xml:space="preserve">Late submissions are penalised at 5% of the total available marks per calendar day, up to a maximum of 5 days late. Submissions more than 5 days late will not be accepted without an approved extension. Extension requests must be submitted at least 24 hours before the due date via the unit's extension request form.</w:t>
      </w:r>
    </w:p>
    <w:p>
      <w:pPr>
        <w:pStyle w:val="Heading2"/>
        <w:spacing w:after="120" w:before="240"/>
      </w:pPr>
      <w:r>
        <w:t xml:space="preserve">Getting help</w:t>
      </w:r>
    </w:p>
    <w:p>
      <w:pPr>
        <w:spacing w:after="160"/>
      </w:pPr>
      <w:r>
        <w:rPr>
          <w:b w:val="false"/>
          <w:bCs w:val="false"/>
          <w:i w:val="false"/>
          <w:iCs w:val="false"/>
        </w:rPr>
        <w:t xml:space="preserve">Questions about this assessment can be raised in the weekly workshop, on the unit's discussion forum, or during consultation hours. Please do not leave questions until the day before the due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2026-09-25T03:21:35.102Z</dcterms:created>
  <dcterms:modified xsi:type="dcterms:W3CDTF">2026-09-25T03:21:35.102Z</dcterms:modified>
</cp:coreProperties>
</file>

<file path=docProps/custom.xml><?xml version="1.0" encoding="utf-8"?>
<Properties xmlns="http://schemas.openxmlformats.org/officeDocument/2006/custom-properties" xmlns:vt="http://schemas.openxmlformats.org/officeDocument/2006/docPropsVTypes"/>
</file>