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98860" w14:textId="19DFACED" w:rsidR="004645D7" w:rsidRPr="00D73E62" w:rsidRDefault="00D73E62" w:rsidP="00D73E62">
      <w:pPr>
        <w:pStyle w:val="a3"/>
        <w:widowControl/>
        <w:numPr>
          <w:ilvl w:val="0"/>
          <w:numId w:val="4"/>
        </w:numPr>
        <w:spacing w:before="60" w:after="60"/>
        <w:ind w:leftChars="0"/>
        <w:jc w:val="both"/>
        <w:rPr>
          <w:rFonts w:ascii="標楷體" w:eastAsia="標楷體" w:hAnsi="標楷體" w:cs="Calibri"/>
          <w:b/>
          <w:bCs/>
          <w:color w:val="000000"/>
          <w:kern w:val="0"/>
          <w:sz w:val="32"/>
          <w:szCs w:val="32"/>
        </w:rPr>
      </w:pPr>
      <w:r w:rsidRPr="00D73E62">
        <w:rPr>
          <w:rFonts w:ascii="標楷體" w:eastAsia="標楷體" w:hAnsi="標楷體" w:cs="Calibri" w:hint="eastAsia"/>
          <w:b/>
          <w:bCs/>
          <w:color w:val="000000"/>
          <w:kern w:val="0"/>
          <w:sz w:val="32"/>
          <w:szCs w:val="32"/>
        </w:rPr>
        <w:t>文獻回顧與探討</w:t>
      </w:r>
    </w:p>
    <w:p w14:paraId="1FF32EA0" w14:textId="347D1AC0" w:rsidR="00D73E62" w:rsidRPr="00D73E62" w:rsidRDefault="00D73E62" w:rsidP="00D73E62">
      <w:pPr>
        <w:pStyle w:val="a3"/>
        <w:numPr>
          <w:ilvl w:val="0"/>
          <w:numId w:val="1"/>
        </w:numPr>
        <w:ind w:leftChars="0"/>
        <w:rPr>
          <w:rFonts w:ascii="標楷體" w:eastAsia="標楷體" w:hAnsi="標楷體" w:cs="Calibri"/>
          <w:b/>
          <w:bCs/>
          <w:color w:val="000000"/>
          <w:kern w:val="0"/>
          <w:szCs w:val="24"/>
        </w:rPr>
      </w:pPr>
      <w:r w:rsidRPr="00D73E62">
        <w:rPr>
          <w:rFonts w:ascii="標楷體" w:eastAsia="標楷體" w:hAnsi="標楷體" w:cs="Calibri" w:hint="eastAsia"/>
          <w:b/>
          <w:bCs/>
          <w:color w:val="000000"/>
          <w:kern w:val="0"/>
          <w:szCs w:val="24"/>
        </w:rPr>
        <w:t>職</w:t>
      </w:r>
      <w:proofErr w:type="gramStart"/>
      <w:r w:rsidRPr="00D73E62">
        <w:rPr>
          <w:rFonts w:ascii="標楷體" w:eastAsia="標楷體" w:hAnsi="標楷體" w:cs="Calibri" w:hint="eastAsia"/>
          <w:b/>
          <w:bCs/>
          <w:color w:val="000000"/>
          <w:kern w:val="0"/>
          <w:szCs w:val="24"/>
        </w:rPr>
        <w:t>涯</w:t>
      </w:r>
      <w:proofErr w:type="gramEnd"/>
      <w:r w:rsidRPr="00D73E62">
        <w:rPr>
          <w:rFonts w:ascii="標楷體" w:eastAsia="標楷體" w:hAnsi="標楷體" w:cs="Calibri" w:hint="eastAsia"/>
          <w:b/>
          <w:bCs/>
          <w:color w:val="000000"/>
          <w:kern w:val="0"/>
          <w:szCs w:val="24"/>
        </w:rPr>
        <w:t>探索之時期</w:t>
      </w:r>
    </w:p>
    <w:p w14:paraId="3E780DFE" w14:textId="4B1BAB85" w:rsidR="00D73E62" w:rsidRPr="00114571" w:rsidRDefault="00114571" w:rsidP="00114571">
      <w:pPr>
        <w:rPr>
          <w:rFonts w:ascii="標楷體" w:eastAsia="標楷體" w:hAnsi="標楷體"/>
          <w:b/>
          <w:bCs/>
        </w:rPr>
      </w:pPr>
      <w:r>
        <w:rPr>
          <w:rFonts w:ascii="標楷體" w:eastAsia="標楷體" w:hAnsi="標楷體" w:hint="eastAsia"/>
          <w:b/>
          <w:bCs/>
        </w:rPr>
        <w:t xml:space="preserve">    </w:t>
      </w:r>
      <w:r w:rsidR="00D73E62" w:rsidRPr="00114571">
        <w:rPr>
          <w:rFonts w:ascii="標楷體" w:eastAsia="標楷體" w:hAnsi="標楷體" w:hint="eastAsia"/>
          <w:b/>
          <w:bCs/>
        </w:rPr>
        <w:t>A：對於國小</w:t>
      </w:r>
    </w:p>
    <w:p w14:paraId="4BDBDDB9" w14:textId="1635D433" w:rsidR="00822DAA" w:rsidRDefault="00114571" w:rsidP="00271A55">
      <w:pPr>
        <w:pStyle w:val="a3"/>
        <w:overflowPunct w:val="0"/>
        <w:ind w:leftChars="0"/>
        <w:jc w:val="both"/>
        <w:rPr>
          <w:rFonts w:ascii="標楷體" w:eastAsia="標楷體" w:hAnsi="標楷體"/>
        </w:rPr>
      </w:pPr>
      <w:r>
        <w:rPr>
          <w:rFonts w:ascii="標楷體" w:eastAsia="標楷體" w:hAnsi="標楷體" w:hint="eastAsia"/>
        </w:rPr>
        <w:t xml:space="preserve">  </w:t>
      </w:r>
      <w:r w:rsidR="0013329C">
        <w:rPr>
          <w:rFonts w:ascii="標楷體" w:eastAsia="標楷體" w:hAnsi="標楷體" w:hint="eastAsia"/>
        </w:rPr>
        <w:t xml:space="preserve">  </w:t>
      </w:r>
      <w:r w:rsidR="00D73E62" w:rsidRPr="00D73E62">
        <w:rPr>
          <w:rFonts w:ascii="標楷體" w:eastAsia="標楷體" w:hAnsi="標楷體"/>
        </w:rPr>
        <w:t>生涯探索團體輔導運用在國小四年級學童身上，在職業自</w:t>
      </w:r>
      <w:r w:rsidR="00D73E62" w:rsidRPr="00114571">
        <w:rPr>
          <w:rFonts w:ascii="標楷體" w:eastAsia="標楷體" w:hAnsi="標楷體"/>
        </w:rPr>
        <w:t>我概念與生涯覺察上亦都有成效</w:t>
      </w:r>
      <w:r w:rsidRPr="00114571">
        <w:rPr>
          <w:rFonts w:ascii="標楷體" w:eastAsia="標楷體" w:hAnsi="標楷體"/>
        </w:rPr>
        <w:t xml:space="preserve"> (楊茹音</w:t>
      </w:r>
      <w:r w:rsidRPr="00114571">
        <w:rPr>
          <w:rFonts w:ascii="標楷體" w:eastAsia="標楷體" w:hAnsi="標楷體" w:hint="eastAsia"/>
        </w:rPr>
        <w:t>，</w:t>
      </w:r>
      <w:r w:rsidRPr="00114571">
        <w:rPr>
          <w:rFonts w:ascii="標楷體" w:eastAsia="標楷體" w:hAnsi="標楷體"/>
        </w:rPr>
        <w:t>2002)</w:t>
      </w:r>
      <w:r w:rsidR="00D73E62" w:rsidRPr="00114571">
        <w:rPr>
          <w:rFonts w:ascii="標楷體" w:eastAsia="標楷體" w:hAnsi="標楷體"/>
        </w:rPr>
        <w:t>。融入式生涯發展教育方案對於五年級學童除了有具體成效，此方案與其額外加入的資源對於學生有正向效果</w:t>
      </w:r>
      <w:r w:rsidR="00546C68" w:rsidRPr="00114571">
        <w:rPr>
          <w:rFonts w:ascii="標楷體" w:eastAsia="標楷體" w:hAnsi="標楷體"/>
        </w:rPr>
        <w:t>(梁吉成</w:t>
      </w:r>
      <w:r w:rsidR="00546C68" w:rsidRPr="00114571">
        <w:rPr>
          <w:rFonts w:ascii="標楷體" w:eastAsia="標楷體" w:hAnsi="標楷體" w:hint="eastAsia"/>
        </w:rPr>
        <w:t>，</w:t>
      </w:r>
      <w:r w:rsidR="00546C68" w:rsidRPr="00114571">
        <w:rPr>
          <w:rFonts w:ascii="標楷體" w:eastAsia="標楷體" w:hAnsi="標楷體"/>
        </w:rPr>
        <w:t>2006)</w:t>
      </w:r>
      <w:r w:rsidR="00D73E62" w:rsidRPr="00114571">
        <w:rPr>
          <w:rFonts w:ascii="標楷體" w:eastAsia="標楷體" w:hAnsi="標楷體"/>
        </w:rPr>
        <w:t>。 在國外方面，生涯課程亦是成效斐然。以六年級為對象，進行一學期的「生計教育方案」，發現實驗組學童其自我概念、工作價值觀顯著高於控制組</w:t>
      </w:r>
      <w:r w:rsidR="00546C68" w:rsidRPr="00114571">
        <w:rPr>
          <w:rFonts w:ascii="標楷體" w:eastAsia="標楷體" w:hAnsi="標楷體"/>
        </w:rPr>
        <w:t xml:space="preserve"> (Moore</w:t>
      </w:r>
      <w:r w:rsidR="00546C68">
        <w:rPr>
          <w:rFonts w:ascii="標楷體" w:eastAsia="標楷體" w:hAnsi="標楷體" w:hint="eastAsia"/>
        </w:rPr>
        <w:t>，</w:t>
      </w:r>
      <w:r w:rsidR="00546C68" w:rsidRPr="00114571">
        <w:rPr>
          <w:rFonts w:ascii="標楷體" w:eastAsia="標楷體" w:hAnsi="標楷體"/>
        </w:rPr>
        <w:t>1980)</w:t>
      </w:r>
      <w:r w:rsidR="00D73E62" w:rsidRPr="00114571">
        <w:rPr>
          <w:rFonts w:ascii="標楷體" w:eastAsia="標楷體" w:hAnsi="標楷體"/>
        </w:rPr>
        <w:t>。</w:t>
      </w:r>
      <w:r w:rsidR="00546C68">
        <w:rPr>
          <w:rFonts w:ascii="標楷體" w:eastAsia="標楷體" w:hAnsi="標楷體" w:hint="eastAsia"/>
        </w:rPr>
        <w:t>另一個研究</w:t>
      </w:r>
      <w:r w:rsidR="00D73E62" w:rsidRPr="00114571">
        <w:rPr>
          <w:rFonts w:ascii="標楷體" w:eastAsia="標楷體" w:hAnsi="標楷體"/>
        </w:rPr>
        <w:t>也是以200名六年級學童為對象，進行生涯方案，也發現實驗組學童其自我概念、生涯覺察高於控制組</w:t>
      </w:r>
      <w:r w:rsidR="00546C68" w:rsidRPr="00114571">
        <w:rPr>
          <w:rFonts w:ascii="標楷體" w:eastAsia="標楷體" w:hAnsi="標楷體"/>
        </w:rPr>
        <w:t xml:space="preserve"> (Lusk</w:t>
      </w:r>
      <w:r w:rsidR="00546C68">
        <w:rPr>
          <w:rFonts w:ascii="標楷體" w:eastAsia="標楷體" w:hAnsi="標楷體" w:hint="eastAsia"/>
        </w:rPr>
        <w:t>、</w:t>
      </w:r>
      <w:proofErr w:type="spellStart"/>
      <w:r w:rsidR="00546C68" w:rsidRPr="00114571">
        <w:rPr>
          <w:rFonts w:ascii="標楷體" w:eastAsia="標楷體" w:hAnsi="標楷體"/>
        </w:rPr>
        <w:t>Marthe</w:t>
      </w:r>
      <w:proofErr w:type="spellEnd"/>
      <w:r w:rsidR="00546C68">
        <w:rPr>
          <w:rFonts w:ascii="標楷體" w:eastAsia="標楷體" w:hAnsi="標楷體" w:hint="eastAsia"/>
        </w:rPr>
        <w:t>，</w:t>
      </w:r>
      <w:r w:rsidR="00546C68" w:rsidRPr="00114571">
        <w:rPr>
          <w:rFonts w:ascii="標楷體" w:eastAsia="標楷體" w:hAnsi="標楷體"/>
        </w:rPr>
        <w:t>1982)</w:t>
      </w:r>
      <w:r w:rsidR="00D73E62" w:rsidRPr="00114571">
        <w:rPr>
          <w:rFonts w:ascii="標楷體" w:eastAsia="標楷體" w:hAnsi="標楷體"/>
        </w:rPr>
        <w:t>。</w:t>
      </w:r>
    </w:p>
    <w:p w14:paraId="5D306755" w14:textId="52172F36" w:rsidR="00D73E62" w:rsidRDefault="00822DAA" w:rsidP="00271A55">
      <w:pPr>
        <w:pStyle w:val="a3"/>
        <w:overflowPunct w:val="0"/>
        <w:ind w:leftChars="0"/>
        <w:jc w:val="both"/>
        <w:rPr>
          <w:rFonts w:ascii="標楷體" w:eastAsia="標楷體" w:hAnsi="標楷體"/>
        </w:rPr>
      </w:pPr>
      <w:r>
        <w:rPr>
          <w:rFonts w:ascii="標楷體" w:eastAsia="標楷體" w:hAnsi="標楷體" w:hint="eastAsia"/>
        </w:rPr>
        <w:t xml:space="preserve">   </w:t>
      </w:r>
      <w:r w:rsidR="0013329C">
        <w:rPr>
          <w:rFonts w:ascii="標楷體" w:eastAsia="標楷體" w:hAnsi="標楷體" w:hint="eastAsia"/>
        </w:rPr>
        <w:t xml:space="preserve">  </w:t>
      </w:r>
      <w:proofErr w:type="spellStart"/>
      <w:r w:rsidR="00D73E62" w:rsidRPr="00114571">
        <w:rPr>
          <w:rFonts w:ascii="標楷體" w:eastAsia="標楷體" w:hAnsi="標楷體"/>
        </w:rPr>
        <w:t>Pereno</w:t>
      </w:r>
      <w:proofErr w:type="spellEnd"/>
      <w:r w:rsidR="00D73E62" w:rsidRPr="00114571">
        <w:rPr>
          <w:rFonts w:ascii="標楷體" w:eastAsia="標楷體" w:hAnsi="標楷體"/>
        </w:rPr>
        <w:t>則設計一套電腦實驗課程，以五年級學童為對象，讓學生以電腦模擬來認識工作，發覺學童職業知 識覺察力有顯著進步，顯示多媒體是教學的得力助手</w:t>
      </w:r>
      <w:r w:rsidR="00546C68" w:rsidRPr="00114571">
        <w:rPr>
          <w:rFonts w:ascii="標楷體" w:eastAsia="標楷體" w:hAnsi="標楷體"/>
        </w:rPr>
        <w:t>(</w:t>
      </w:r>
      <w:proofErr w:type="spellStart"/>
      <w:r w:rsidR="00546C68" w:rsidRPr="00114571">
        <w:rPr>
          <w:rFonts w:ascii="標楷體" w:eastAsia="標楷體" w:hAnsi="標楷體"/>
        </w:rPr>
        <w:t>Pereno</w:t>
      </w:r>
      <w:proofErr w:type="spellEnd"/>
      <w:r w:rsidR="00546C68">
        <w:rPr>
          <w:rFonts w:ascii="標楷體" w:eastAsia="標楷體" w:hAnsi="標楷體" w:hint="eastAsia"/>
        </w:rPr>
        <w:t>，</w:t>
      </w:r>
      <w:r w:rsidR="00546C68" w:rsidRPr="00114571">
        <w:rPr>
          <w:rFonts w:ascii="標楷體" w:eastAsia="標楷體" w:hAnsi="標楷體"/>
        </w:rPr>
        <w:t>1989)</w:t>
      </w:r>
      <w:r w:rsidR="00D73E62" w:rsidRPr="00114571">
        <w:rPr>
          <w:rFonts w:ascii="標楷體" w:eastAsia="標楷體" w:hAnsi="標楷體"/>
        </w:rPr>
        <w:t>。Taylor更對21名四年級學生進行輔導，在生涯與工作世界認知上同樣有成效</w:t>
      </w:r>
      <w:r w:rsidR="00546C68" w:rsidRPr="00114571">
        <w:rPr>
          <w:rFonts w:ascii="標楷體" w:eastAsia="標楷體" w:hAnsi="標楷體"/>
        </w:rPr>
        <w:t>(Taylor</w:t>
      </w:r>
      <w:r w:rsidR="00546C68">
        <w:rPr>
          <w:rFonts w:ascii="標楷體" w:eastAsia="標楷體" w:hAnsi="標楷體" w:hint="eastAsia"/>
        </w:rPr>
        <w:t>，</w:t>
      </w:r>
      <w:r w:rsidR="00546C68" w:rsidRPr="00114571">
        <w:rPr>
          <w:rFonts w:ascii="標楷體" w:eastAsia="標楷體" w:hAnsi="標楷體"/>
        </w:rPr>
        <w:t>1994)</w:t>
      </w:r>
      <w:r w:rsidR="00D73E62" w:rsidRPr="00114571">
        <w:rPr>
          <w:rFonts w:ascii="標楷體" w:eastAsia="標楷體" w:hAnsi="標楷體"/>
        </w:rPr>
        <w:t>。伊利諾州教育局也對幼稚園到高中設計一系列循序漸進的階段性生涯覺察課程，並將其融入一般課程，活動包含課堂教學、校外教學、生涯覺察活動等，實施結果明顯達到生涯覺察的目標。</w:t>
      </w:r>
      <w:proofErr w:type="gramStart"/>
      <w:r w:rsidR="00981EF3">
        <w:rPr>
          <w:rFonts w:ascii="標楷體" w:eastAsia="標楷體" w:hAnsi="標楷體" w:hint="eastAsia"/>
        </w:rPr>
        <w:t>（</w:t>
      </w:r>
      <w:proofErr w:type="gramEnd"/>
      <w:r w:rsidR="00981EF3" w:rsidRPr="00114571">
        <w:rPr>
          <w:rFonts w:ascii="標楷體" w:eastAsia="標楷體" w:hAnsi="標楷體"/>
        </w:rPr>
        <w:t>Illinois State Board of Education</w:t>
      </w:r>
      <w:r w:rsidR="00981EF3">
        <w:rPr>
          <w:rFonts w:ascii="標楷體" w:eastAsia="標楷體" w:hAnsi="標楷體" w:hint="eastAsia"/>
        </w:rPr>
        <w:t>，</w:t>
      </w:r>
      <w:r w:rsidR="00981EF3" w:rsidRPr="00114571">
        <w:rPr>
          <w:rFonts w:ascii="標楷體" w:eastAsia="標楷體" w:hAnsi="標楷體"/>
        </w:rPr>
        <w:t>2000</w:t>
      </w:r>
      <w:r w:rsidR="00981EF3">
        <w:rPr>
          <w:rFonts w:ascii="標楷體" w:eastAsia="標楷體" w:hAnsi="標楷體" w:hint="eastAsia"/>
        </w:rPr>
        <w:t>；</w:t>
      </w:r>
      <w:r w:rsidR="00D73E62" w:rsidRPr="00114571">
        <w:rPr>
          <w:rFonts w:ascii="標楷體" w:eastAsia="標楷體" w:hAnsi="標楷體"/>
        </w:rPr>
        <w:t>林君紅，2008)</w:t>
      </w:r>
    </w:p>
    <w:p w14:paraId="060CCC96" w14:textId="2583724F" w:rsidR="00981EF3" w:rsidRDefault="00981EF3" w:rsidP="00271A55">
      <w:pPr>
        <w:overflowPunct w:val="0"/>
        <w:jc w:val="both"/>
        <w:rPr>
          <w:rFonts w:ascii="標楷體" w:eastAsia="標楷體" w:hAnsi="標楷體"/>
          <w:b/>
          <w:bCs/>
        </w:rPr>
      </w:pPr>
      <w:r>
        <w:rPr>
          <w:rFonts w:ascii="標楷體" w:eastAsia="標楷體" w:hAnsi="標楷體" w:hint="eastAsia"/>
        </w:rPr>
        <w:t xml:space="preserve">   </w:t>
      </w:r>
      <w:r w:rsidRPr="00981EF3">
        <w:rPr>
          <w:rFonts w:ascii="標楷體" w:eastAsia="標楷體" w:hAnsi="標楷體" w:hint="eastAsia"/>
          <w:b/>
          <w:bCs/>
        </w:rPr>
        <w:t xml:space="preserve"> B</w:t>
      </w:r>
      <w:r w:rsidRPr="00114571">
        <w:rPr>
          <w:rFonts w:ascii="標楷體" w:eastAsia="標楷體" w:hAnsi="標楷體" w:hint="eastAsia"/>
          <w:b/>
          <w:bCs/>
        </w:rPr>
        <w:t>：</w:t>
      </w:r>
      <w:r>
        <w:rPr>
          <w:rFonts w:ascii="標楷體" w:eastAsia="標楷體" w:hAnsi="標楷體" w:hint="eastAsia"/>
          <w:b/>
          <w:bCs/>
        </w:rPr>
        <w:t>對於國中</w:t>
      </w:r>
    </w:p>
    <w:p w14:paraId="0551F1DF" w14:textId="77777777" w:rsidR="0013329C" w:rsidRDefault="00981EF3" w:rsidP="0013329C">
      <w:pPr>
        <w:overflowPunct w:val="0"/>
        <w:jc w:val="both"/>
        <w:rPr>
          <w:rFonts w:ascii="標楷體" w:eastAsia="標楷體" w:hAnsi="標楷體"/>
        </w:rPr>
      </w:pPr>
      <w:r>
        <w:rPr>
          <w:rFonts w:ascii="標楷體" w:eastAsia="標楷體" w:hAnsi="標楷體" w:hint="eastAsia"/>
          <w:b/>
          <w:bCs/>
        </w:rPr>
        <w:t xml:space="preserve">     </w:t>
      </w:r>
      <w:r w:rsidR="0013329C">
        <w:rPr>
          <w:rFonts w:ascii="標楷體" w:eastAsia="標楷體" w:hAnsi="標楷體" w:hint="eastAsia"/>
          <w:b/>
          <w:bCs/>
        </w:rPr>
        <w:t xml:space="preserve">  </w:t>
      </w:r>
      <w:r w:rsidRPr="00981EF3">
        <w:rPr>
          <w:rFonts w:ascii="標楷體" w:eastAsia="標楷體" w:hAnsi="標楷體" w:hint="eastAsia"/>
        </w:rPr>
        <w:t xml:space="preserve"> </w:t>
      </w:r>
      <w:r w:rsidRPr="00981EF3">
        <w:rPr>
          <w:rFonts w:ascii="標楷體" w:eastAsia="標楷體" w:hAnsi="標楷體"/>
        </w:rPr>
        <w:t>2015 年1月 14 日立法通過《技術及職業教育法》，旨在為建立技術</w:t>
      </w:r>
    </w:p>
    <w:p w14:paraId="352718AD" w14:textId="77777777" w:rsidR="0013329C" w:rsidRDefault="0013329C" w:rsidP="0013329C">
      <w:pPr>
        <w:overflowPunct w:val="0"/>
        <w:jc w:val="both"/>
        <w:rPr>
          <w:rFonts w:ascii="標楷體" w:eastAsia="標楷體" w:hAnsi="標楷體"/>
        </w:rPr>
      </w:pPr>
      <w:r>
        <w:rPr>
          <w:rFonts w:ascii="標楷體" w:eastAsia="標楷體" w:hAnsi="標楷體" w:hint="eastAsia"/>
        </w:rPr>
        <w:t xml:space="preserve">    </w:t>
      </w:r>
      <w:r w:rsidR="00981EF3" w:rsidRPr="00981EF3">
        <w:rPr>
          <w:rFonts w:ascii="標楷體" w:eastAsia="標楷體" w:hAnsi="標楷體"/>
        </w:rPr>
        <w:t>及職業教育（以下簡稱技職教育）人才培育制度，培養國人正確職業觀</w:t>
      </w:r>
      <w:r>
        <w:rPr>
          <w:rFonts w:ascii="標楷體" w:eastAsia="標楷體" w:hAnsi="標楷體" w:hint="eastAsia"/>
        </w:rPr>
        <w:t xml:space="preserve">  </w:t>
      </w:r>
    </w:p>
    <w:p w14:paraId="44465622" w14:textId="77777777" w:rsidR="000C4D13" w:rsidRDefault="0013329C" w:rsidP="0013329C">
      <w:pPr>
        <w:overflowPunct w:val="0"/>
        <w:jc w:val="both"/>
        <w:rPr>
          <w:rFonts w:ascii="標楷體" w:eastAsia="標楷體" w:hAnsi="標楷體"/>
        </w:rPr>
      </w:pPr>
      <w:r>
        <w:rPr>
          <w:rFonts w:ascii="標楷體" w:eastAsia="標楷體" w:hAnsi="標楷體" w:hint="eastAsia"/>
        </w:rPr>
        <w:t xml:space="preserve">    </w:t>
      </w:r>
      <w:r w:rsidR="00981EF3" w:rsidRPr="00981EF3">
        <w:rPr>
          <w:rFonts w:ascii="標楷體" w:eastAsia="標楷體" w:hAnsi="標楷體"/>
        </w:rPr>
        <w:t>念，落實技職教育務實致用特色，培育各行業人才，特制定本法。「職業試</w:t>
      </w:r>
      <w:r w:rsidR="000C4D13">
        <w:rPr>
          <w:rFonts w:ascii="標楷體" w:eastAsia="標楷體" w:hAnsi="標楷體" w:hint="eastAsia"/>
        </w:rPr>
        <w:t xml:space="preserve">  </w:t>
      </w:r>
    </w:p>
    <w:p w14:paraId="4582A2FE" w14:textId="77777777" w:rsidR="000C4D13" w:rsidRDefault="000C4D13" w:rsidP="0013329C">
      <w:pPr>
        <w:overflowPunct w:val="0"/>
        <w:jc w:val="both"/>
        <w:rPr>
          <w:rFonts w:ascii="標楷體" w:eastAsia="標楷體" w:hAnsi="標楷體"/>
        </w:rPr>
      </w:pPr>
      <w:r>
        <w:rPr>
          <w:rFonts w:ascii="標楷體" w:eastAsia="標楷體" w:hAnsi="標楷體" w:hint="eastAsia"/>
        </w:rPr>
        <w:t xml:space="preserve">    </w:t>
      </w:r>
      <w:r w:rsidR="00981EF3" w:rsidRPr="00981EF3">
        <w:rPr>
          <w:rFonts w:ascii="標楷體" w:eastAsia="標楷體" w:hAnsi="標楷體"/>
        </w:rPr>
        <w:t>探教育」</w:t>
      </w:r>
      <w:proofErr w:type="gramStart"/>
      <w:r w:rsidR="00981EF3" w:rsidRPr="00981EF3">
        <w:rPr>
          <w:rFonts w:ascii="標楷體" w:eastAsia="標楷體" w:hAnsi="標楷體"/>
        </w:rPr>
        <w:t>條指提供</w:t>
      </w:r>
      <w:proofErr w:type="gramEnd"/>
      <w:r w:rsidR="00981EF3" w:rsidRPr="00981EF3">
        <w:rPr>
          <w:rFonts w:ascii="標楷體" w:eastAsia="標楷體" w:hAnsi="標楷體"/>
        </w:rPr>
        <w:t>學生對職業之認識、探索及體驗教育，其中明訂在國民</w:t>
      </w:r>
    </w:p>
    <w:p w14:paraId="295FB50F" w14:textId="77777777" w:rsidR="000C4D13" w:rsidRDefault="000C4D13" w:rsidP="0013329C">
      <w:pPr>
        <w:overflowPunct w:val="0"/>
        <w:jc w:val="both"/>
        <w:rPr>
          <w:rFonts w:ascii="標楷體" w:eastAsia="標楷體" w:hAnsi="標楷體"/>
        </w:rPr>
      </w:pPr>
      <w:r>
        <w:rPr>
          <w:rFonts w:ascii="標楷體" w:eastAsia="標楷體" w:hAnsi="標楷體" w:hint="eastAsia"/>
        </w:rPr>
        <w:t xml:space="preserve">    </w:t>
      </w:r>
      <w:r w:rsidR="00981EF3" w:rsidRPr="00981EF3">
        <w:rPr>
          <w:rFonts w:ascii="標楷體" w:eastAsia="標楷體" w:hAnsi="標楷體"/>
        </w:rPr>
        <w:t>中小學</w:t>
      </w:r>
      <w:proofErr w:type="gramStart"/>
      <w:r w:rsidR="00981EF3" w:rsidRPr="00981EF3">
        <w:rPr>
          <w:rFonts w:ascii="標楷體" w:eastAsia="標楷體" w:hAnsi="標楷體"/>
        </w:rPr>
        <w:t>課綱應</w:t>
      </w:r>
      <w:proofErr w:type="gramEnd"/>
      <w:r w:rsidR="00981EF3" w:rsidRPr="00981EF3">
        <w:rPr>
          <w:rFonts w:ascii="標楷體" w:eastAsia="標楷體" w:hAnsi="標楷體"/>
        </w:rPr>
        <w:t>納人職業探索課程，於國、高中階段學校應安排學生至相關</w:t>
      </w:r>
    </w:p>
    <w:p w14:paraId="7ABACC4C" w14:textId="5D772249" w:rsidR="00757914" w:rsidRDefault="000C4D13" w:rsidP="0013329C">
      <w:pPr>
        <w:overflowPunct w:val="0"/>
        <w:jc w:val="both"/>
        <w:rPr>
          <w:rFonts w:ascii="標楷體" w:eastAsia="標楷體" w:hAnsi="標楷體"/>
        </w:rPr>
      </w:pPr>
      <w:r>
        <w:rPr>
          <w:rFonts w:ascii="標楷體" w:eastAsia="標楷體" w:hAnsi="標楷體" w:hint="eastAsia"/>
        </w:rPr>
        <w:t xml:space="preserve">    </w:t>
      </w:r>
      <w:r w:rsidR="00981EF3" w:rsidRPr="00981EF3">
        <w:rPr>
          <w:rFonts w:ascii="標楷體" w:eastAsia="標楷體" w:hAnsi="標楷體"/>
        </w:rPr>
        <w:t>企業參訪。</w:t>
      </w:r>
    </w:p>
    <w:p w14:paraId="2883EB3A" w14:textId="77777777" w:rsidR="000C4D13" w:rsidRDefault="00757914" w:rsidP="0013329C">
      <w:pPr>
        <w:overflowPunct w:val="0"/>
        <w:jc w:val="both"/>
        <w:rPr>
          <w:rFonts w:ascii="標楷體" w:eastAsia="標楷體" w:hAnsi="標楷體"/>
        </w:rPr>
      </w:pPr>
      <w:r>
        <w:rPr>
          <w:rFonts w:ascii="標楷體" w:eastAsia="標楷體" w:hAnsi="標楷體" w:hint="eastAsia"/>
        </w:rPr>
        <w:t xml:space="preserve">    </w:t>
      </w:r>
      <w:r w:rsidR="00271A55">
        <w:rPr>
          <w:rFonts w:ascii="標楷體" w:eastAsia="標楷體" w:hAnsi="標楷體" w:hint="eastAsia"/>
        </w:rPr>
        <w:t xml:space="preserve">  </w:t>
      </w:r>
      <w:r w:rsidR="0013329C">
        <w:rPr>
          <w:rFonts w:ascii="標楷體" w:eastAsia="標楷體" w:hAnsi="標楷體" w:hint="eastAsia"/>
        </w:rPr>
        <w:t xml:space="preserve">  </w:t>
      </w:r>
      <w:r w:rsidR="00981EF3" w:rsidRPr="00981EF3">
        <w:rPr>
          <w:rFonts w:ascii="標楷體" w:eastAsia="標楷體" w:hAnsi="標楷體"/>
        </w:rPr>
        <w:t>目前國中階段與「職</w:t>
      </w:r>
      <w:proofErr w:type="gramStart"/>
      <w:r w:rsidR="00981EF3" w:rsidRPr="00981EF3">
        <w:rPr>
          <w:rFonts w:ascii="標楷體" w:eastAsia="標楷體" w:hAnsi="標楷體"/>
        </w:rPr>
        <w:t>涯</w:t>
      </w:r>
      <w:proofErr w:type="gramEnd"/>
      <w:r w:rsidR="00981EF3" w:rsidRPr="00981EF3">
        <w:rPr>
          <w:rFonts w:ascii="標楷體" w:eastAsia="標楷體" w:hAnsi="標楷體"/>
        </w:rPr>
        <w:t>探索活動」有關的教育政策及法規，提供國中</w:t>
      </w:r>
    </w:p>
    <w:p w14:paraId="7DF49066" w14:textId="77777777" w:rsidR="000C4D13" w:rsidRDefault="000C4D13" w:rsidP="0013329C">
      <w:pPr>
        <w:overflowPunct w:val="0"/>
        <w:jc w:val="both"/>
        <w:rPr>
          <w:rFonts w:ascii="標楷體" w:eastAsia="標楷體" w:hAnsi="標楷體"/>
        </w:rPr>
      </w:pPr>
      <w:r>
        <w:rPr>
          <w:rFonts w:ascii="標楷體" w:eastAsia="標楷體" w:hAnsi="標楷體" w:hint="eastAsia"/>
        </w:rPr>
        <w:t xml:space="preserve">    </w:t>
      </w:r>
      <w:r w:rsidR="00981EF3" w:rsidRPr="00981EF3">
        <w:rPr>
          <w:rFonts w:ascii="標楷體" w:eastAsia="標楷體" w:hAnsi="標楷體"/>
        </w:rPr>
        <w:t>生以短期或長期探索職</w:t>
      </w:r>
      <w:proofErr w:type="gramStart"/>
      <w:r w:rsidR="00981EF3" w:rsidRPr="00981EF3">
        <w:rPr>
          <w:rFonts w:ascii="標楷體" w:eastAsia="標楷體" w:hAnsi="標楷體"/>
        </w:rPr>
        <w:t>涯</w:t>
      </w:r>
      <w:proofErr w:type="gramEnd"/>
      <w:r w:rsidR="00981EF3" w:rsidRPr="00981EF3">
        <w:rPr>
          <w:rFonts w:ascii="標楷體" w:eastAsia="標楷體" w:hAnsi="標楷體"/>
        </w:rPr>
        <w:t>的相關活動，主要目的是在幫助國中生對自己的</w:t>
      </w:r>
    </w:p>
    <w:p w14:paraId="4C1C6A8C" w14:textId="77777777" w:rsidR="000C4D13" w:rsidRDefault="000C4D13" w:rsidP="0013329C">
      <w:pPr>
        <w:overflowPunct w:val="0"/>
        <w:jc w:val="both"/>
        <w:rPr>
          <w:rFonts w:ascii="標楷體" w:eastAsia="標楷體" w:hAnsi="標楷體"/>
        </w:rPr>
      </w:pPr>
      <w:r>
        <w:rPr>
          <w:rFonts w:ascii="標楷體" w:eastAsia="標楷體" w:hAnsi="標楷體" w:hint="eastAsia"/>
        </w:rPr>
        <w:t xml:space="preserve">    </w:t>
      </w:r>
      <w:r w:rsidR="00981EF3" w:rsidRPr="00981EF3">
        <w:rPr>
          <w:rFonts w:ascii="標楷體" w:eastAsia="標楷體" w:hAnsi="標楷體"/>
        </w:rPr>
        <w:t>生涯規劃與</w:t>
      </w:r>
      <w:r w:rsidR="00981EF3">
        <w:rPr>
          <w:rFonts w:ascii="標楷體" w:eastAsia="標楷體" w:hAnsi="標楷體" w:hint="eastAsia"/>
        </w:rPr>
        <w:t>未來</w:t>
      </w:r>
      <w:r w:rsidR="00981EF3" w:rsidRPr="00981EF3">
        <w:rPr>
          <w:rFonts w:ascii="標楷體" w:eastAsia="標楷體" w:hAnsi="標楷體"/>
        </w:rPr>
        <w:t>進路的選擇，及早做好</w:t>
      </w:r>
      <w:proofErr w:type="gramStart"/>
      <w:r w:rsidR="00981EF3" w:rsidRPr="00981EF3">
        <w:rPr>
          <w:rFonts w:ascii="標楷體" w:eastAsia="標楷體" w:hAnsi="標楷體"/>
        </w:rPr>
        <w:t>規</w:t>
      </w:r>
      <w:proofErr w:type="gramEnd"/>
      <w:r w:rsidR="00981EF3" w:rsidRPr="00981EF3">
        <w:rPr>
          <w:rFonts w:ascii="標楷體" w:eastAsia="標楷體" w:hAnsi="標楷體"/>
        </w:rPr>
        <w:t>畫準備，以協助家長瞭解孩子自</w:t>
      </w:r>
    </w:p>
    <w:p w14:paraId="4E0D80A6" w14:textId="77777777" w:rsidR="000C4D13" w:rsidRDefault="000C4D13" w:rsidP="0013329C">
      <w:pPr>
        <w:overflowPunct w:val="0"/>
        <w:jc w:val="both"/>
        <w:rPr>
          <w:rFonts w:ascii="標楷體" w:eastAsia="標楷體" w:hAnsi="標楷體"/>
        </w:rPr>
      </w:pPr>
      <w:r>
        <w:rPr>
          <w:rFonts w:ascii="標楷體" w:eastAsia="標楷體" w:hAnsi="標楷體" w:hint="eastAsia"/>
        </w:rPr>
        <w:t xml:space="preserve">    </w:t>
      </w:r>
      <w:r w:rsidR="00981EF3" w:rsidRPr="00981EF3">
        <w:rPr>
          <w:rFonts w:ascii="標楷體" w:eastAsia="標楷體" w:hAnsi="標楷體"/>
        </w:rPr>
        <w:t>己的性向與興趣；並將職</w:t>
      </w:r>
      <w:proofErr w:type="gramStart"/>
      <w:r w:rsidR="00981EF3" w:rsidRPr="00981EF3">
        <w:rPr>
          <w:rFonts w:ascii="標楷體" w:eastAsia="標楷體" w:hAnsi="標楷體"/>
        </w:rPr>
        <w:t>涯</w:t>
      </w:r>
      <w:proofErr w:type="gramEnd"/>
      <w:r w:rsidR="00981EF3" w:rsidRPr="00981EF3">
        <w:rPr>
          <w:rFonts w:ascii="標楷體" w:eastAsia="標楷體" w:hAnsi="標楷體"/>
        </w:rPr>
        <w:t>探索活動明確訂定規範於政府的教育政策與教</w:t>
      </w:r>
    </w:p>
    <w:p w14:paraId="2FF8B135" w14:textId="77777777" w:rsidR="000C4D13" w:rsidRDefault="000C4D13" w:rsidP="0013329C">
      <w:pPr>
        <w:overflowPunct w:val="0"/>
        <w:jc w:val="both"/>
        <w:rPr>
          <w:rFonts w:ascii="標楷體" w:eastAsia="標楷體" w:hAnsi="標楷體"/>
        </w:rPr>
      </w:pPr>
      <w:r>
        <w:rPr>
          <w:rFonts w:ascii="標楷體" w:eastAsia="標楷體" w:hAnsi="標楷體" w:hint="eastAsia"/>
        </w:rPr>
        <w:t xml:space="preserve">    </w:t>
      </w:r>
      <w:r w:rsidR="00981EF3" w:rsidRPr="00981EF3">
        <w:rPr>
          <w:rFonts w:ascii="標楷體" w:eastAsia="標楷體" w:hAnsi="標楷體"/>
        </w:rPr>
        <w:t>育法規中，透過多元的實施方式，讓國中各校積極規劃與安排適合國中生</w:t>
      </w:r>
    </w:p>
    <w:p w14:paraId="3EC513CC" w14:textId="794784FD" w:rsidR="00981EF3" w:rsidRPr="00981EF3" w:rsidRDefault="000C4D13" w:rsidP="0013329C">
      <w:pPr>
        <w:overflowPunct w:val="0"/>
        <w:jc w:val="both"/>
        <w:rPr>
          <w:rFonts w:ascii="標楷體" w:eastAsia="標楷體" w:hAnsi="標楷體" w:hint="eastAsia"/>
        </w:rPr>
      </w:pPr>
      <w:r>
        <w:rPr>
          <w:rFonts w:ascii="標楷體" w:eastAsia="標楷體" w:hAnsi="標楷體" w:hint="eastAsia"/>
        </w:rPr>
        <w:t xml:space="preserve">    </w:t>
      </w:r>
      <w:r w:rsidR="00981EF3" w:rsidRPr="00981EF3">
        <w:rPr>
          <w:rFonts w:ascii="標楷體" w:eastAsia="標楷體" w:hAnsi="標楷體"/>
        </w:rPr>
        <w:t>的職</w:t>
      </w:r>
      <w:proofErr w:type="gramStart"/>
      <w:r w:rsidR="00981EF3" w:rsidRPr="00981EF3">
        <w:rPr>
          <w:rFonts w:ascii="標楷體" w:eastAsia="標楷體" w:hAnsi="標楷體"/>
        </w:rPr>
        <w:t>涯</w:t>
      </w:r>
      <w:proofErr w:type="gramEnd"/>
      <w:r w:rsidR="00981EF3" w:rsidRPr="00981EF3">
        <w:rPr>
          <w:rFonts w:ascii="標楷體" w:eastAsia="標楷體" w:hAnsi="標楷體"/>
        </w:rPr>
        <w:t>探索活動，以協助學生適性發展（柯儀明，2016）</w:t>
      </w:r>
      <w:r w:rsidR="0013329C">
        <w:rPr>
          <w:rFonts w:ascii="標楷體" w:eastAsia="標楷體" w:hAnsi="標楷體" w:hint="eastAsia"/>
        </w:rPr>
        <w:t>。</w:t>
      </w:r>
    </w:p>
    <w:p w14:paraId="7D37B53A" w14:textId="295B0370" w:rsidR="00D73E62" w:rsidRPr="006B69A9" w:rsidRDefault="00981EF3" w:rsidP="00D73E62">
      <w:pPr>
        <w:pStyle w:val="a3"/>
        <w:numPr>
          <w:ilvl w:val="0"/>
          <w:numId w:val="1"/>
        </w:numPr>
        <w:ind w:leftChars="0"/>
        <w:rPr>
          <w:rFonts w:ascii="標楷體" w:eastAsia="標楷體" w:hAnsi="標楷體"/>
          <w:b/>
          <w:bCs/>
        </w:rPr>
      </w:pPr>
      <w:r w:rsidRPr="006B69A9">
        <w:rPr>
          <w:rFonts w:ascii="標楷體" w:eastAsia="標楷體" w:hAnsi="標楷體" w:hint="eastAsia"/>
          <w:b/>
          <w:bCs/>
        </w:rPr>
        <w:t>身體所有權與代理感</w:t>
      </w:r>
    </w:p>
    <w:p w14:paraId="1301A434" w14:textId="77777777" w:rsidR="008A023F" w:rsidRDefault="006B69A9" w:rsidP="0013329C">
      <w:pPr>
        <w:overflowPunct w:val="0"/>
        <w:jc w:val="both"/>
        <w:rPr>
          <w:rFonts w:ascii="標楷體" w:eastAsia="標楷體" w:hAnsi="標楷體"/>
        </w:rPr>
      </w:pPr>
      <w:r>
        <w:rPr>
          <w:rFonts w:ascii="標楷體" w:eastAsia="標楷體" w:hAnsi="標楷體" w:hint="eastAsia"/>
        </w:rPr>
        <w:t xml:space="preserve">    </w:t>
      </w:r>
      <w:r w:rsidRPr="006B69A9">
        <w:rPr>
          <w:rFonts w:ascii="標楷體" w:eastAsia="標楷體" w:hAnsi="標楷體"/>
        </w:rPr>
        <w:t>身體代理權意味著人們認為自己就是自己身體的主人，這同時也牽涉到虛擬化身的認同身體所有權(</w:t>
      </w:r>
      <w:proofErr w:type="spellStart"/>
      <w:r w:rsidRPr="006B69A9">
        <w:rPr>
          <w:rFonts w:ascii="標楷體" w:eastAsia="標楷體" w:hAnsi="標楷體"/>
        </w:rPr>
        <w:t>So</w:t>
      </w:r>
      <w:r>
        <w:rPr>
          <w:rFonts w:ascii="標楷體" w:eastAsia="標楷體" w:hAnsi="標楷體" w:hint="eastAsia"/>
        </w:rPr>
        <w:t>O</w:t>
      </w:r>
      <w:proofErr w:type="spellEnd"/>
      <w:r w:rsidRPr="006B69A9">
        <w:rPr>
          <w:rFonts w:ascii="標楷體" w:eastAsia="標楷體" w:hAnsi="標楷體"/>
        </w:rPr>
        <w:t>)意指人們承認自己就是虛擬化身的主人；代理感(</w:t>
      </w:r>
      <w:proofErr w:type="spellStart"/>
      <w:r w:rsidRPr="006B69A9">
        <w:rPr>
          <w:rFonts w:ascii="標楷體" w:eastAsia="標楷體" w:hAnsi="標楷體"/>
        </w:rPr>
        <w:t>SoA</w:t>
      </w:r>
      <w:proofErr w:type="spellEnd"/>
      <w:r w:rsidRPr="006B69A9">
        <w:rPr>
          <w:rFonts w:ascii="標楷體" w:eastAsia="標楷體" w:hAnsi="標楷體"/>
        </w:rPr>
        <w:t>)意指人們可以控制虛擬化身的動作並能預期其結果，兩者通常是相輔相成，且</w:t>
      </w:r>
      <w:proofErr w:type="gramStart"/>
      <w:r w:rsidRPr="006B69A9">
        <w:rPr>
          <w:rFonts w:ascii="標楷體" w:eastAsia="標楷體" w:hAnsi="標楷體"/>
        </w:rPr>
        <w:t>其交乘效果</w:t>
      </w:r>
      <w:proofErr w:type="gramEnd"/>
      <w:r w:rsidRPr="006B69A9">
        <w:rPr>
          <w:rFonts w:ascii="標楷體" w:eastAsia="標楷體" w:hAnsi="標楷體"/>
        </w:rPr>
        <w:t>也經常反映在沈浸感或存在感，特別是感官方面。身體所有</w:t>
      </w:r>
      <w:r w:rsidRPr="006B69A9">
        <w:rPr>
          <w:rFonts w:ascii="標楷體" w:eastAsia="標楷體" w:hAnsi="標楷體"/>
        </w:rPr>
        <w:lastRenderedPageBreak/>
        <w:t>權基於身體察覺而有助於沈浸感的提升，代理感基於互動回饋而有助於存在感的提升，然而當前相關學理稀少，仍需進一步研究確認。長久以來，眾多該領域學者已經累積相當研究能量於身體所有權和代理感，主要藉由自陳報告來獲致受測者的主觀感受（江振維，2021）。</w:t>
      </w:r>
    </w:p>
    <w:p w14:paraId="007F915E" w14:textId="749F4FBF" w:rsidR="00981EF3" w:rsidRDefault="008A023F" w:rsidP="0013329C">
      <w:pPr>
        <w:overflowPunct w:val="0"/>
        <w:jc w:val="both"/>
        <w:rPr>
          <w:rFonts w:ascii="標楷體" w:eastAsia="標楷體" w:hAnsi="標楷體"/>
        </w:rPr>
      </w:pPr>
      <w:r>
        <w:rPr>
          <w:rFonts w:ascii="標楷體" w:eastAsia="標楷體" w:hAnsi="標楷體" w:hint="eastAsia"/>
        </w:rPr>
        <w:t xml:space="preserve">    </w:t>
      </w:r>
      <w:r w:rsidR="006B69A9" w:rsidRPr="006B69A9">
        <w:rPr>
          <w:rFonts w:ascii="標楷體" w:eastAsia="標楷體" w:hAnsi="標楷體"/>
        </w:rPr>
        <w:t>那麼，人們在虛擬世界中是否能察覺虛擬化身其實就是自己身體的</w:t>
      </w:r>
      <w:proofErr w:type="gramStart"/>
      <w:r w:rsidR="006B69A9">
        <w:rPr>
          <w:rFonts w:ascii="標楷體" w:eastAsia="標楷體" w:hAnsi="標楷體" w:hint="eastAsia"/>
        </w:rPr>
        <w:t>一</w:t>
      </w:r>
      <w:proofErr w:type="gramEnd"/>
      <w:r w:rsidR="006B69A9" w:rsidRPr="006B69A9">
        <w:rPr>
          <w:rFonts w:ascii="標楷體" w:eastAsia="標楷體" w:hAnsi="標楷體"/>
        </w:rPr>
        <w:t>部份，就變得相當關鍵。一般認為，3A級的開放世界以其逼真渲染優勢，加上寫實擬真的虛擬世界環境，其氛圍很容易讓人們誤以為虛擬化身可能就 是自己的身體。如此</w:t>
      </w:r>
      <w:proofErr w:type="gramStart"/>
      <w:r w:rsidR="006B69A9">
        <w:rPr>
          <w:rFonts w:ascii="標楷體" w:eastAsia="標楷體" w:hAnsi="標楷體" w:hint="eastAsia"/>
        </w:rPr>
        <w:t>一來，</w:t>
      </w:r>
      <w:proofErr w:type="gramEnd"/>
      <w:r w:rsidR="006B69A9" w:rsidRPr="006B69A9">
        <w:rPr>
          <w:rFonts w:ascii="標楷體" w:eastAsia="標楷體" w:hAnsi="標楷體"/>
        </w:rPr>
        <w:t>身體所有權也會與虛擬化身的擬真程度(視覺風格)息息相關。其次，代理感意味著人們可以操控虛擬化身的程度有多高，這牽涉遊戲機制所釋放出來的控制權限，以及人們對於虛擬化身的控制掌握程度。實際上，不牽涉虛擬化身的遊戲類型也能具備代理感</w:t>
      </w:r>
      <w:proofErr w:type="gramStart"/>
      <w:r w:rsidR="006B69A9">
        <w:rPr>
          <w:rFonts w:ascii="標楷體" w:eastAsia="標楷體" w:hAnsi="標楷體" w:hint="eastAsia"/>
        </w:rPr>
        <w:t>（</w:t>
      </w:r>
      <w:proofErr w:type="gramEnd"/>
      <w:r w:rsidR="006B69A9" w:rsidRPr="00BE74C2">
        <w:rPr>
          <w:rFonts w:ascii="Times New Roman" w:eastAsia="標楷體" w:hAnsi="Times New Roman" w:cs="Times New Roman"/>
        </w:rPr>
        <w:t>Jo et al., 2017; Latoschik et al., 2017; Thompson et al., 2018</w:t>
      </w:r>
      <w:r w:rsidR="006B69A9" w:rsidRPr="006B69A9">
        <w:rPr>
          <w:rFonts w:ascii="標楷體" w:eastAsia="標楷體" w:hAnsi="標楷體"/>
        </w:rPr>
        <w:t>; 林大偉，</w:t>
      </w:r>
      <w:r w:rsidR="006B69A9" w:rsidRPr="00BE74C2">
        <w:rPr>
          <w:rFonts w:ascii="Times New Roman" w:eastAsia="標楷體" w:hAnsi="Times New Roman" w:cs="Times New Roman"/>
        </w:rPr>
        <w:t>2021</w:t>
      </w:r>
      <w:r w:rsidR="006B69A9" w:rsidRPr="006B69A9">
        <w:rPr>
          <w:rFonts w:ascii="標楷體" w:eastAsia="標楷體" w:hAnsi="標楷體"/>
        </w:rPr>
        <w:t>;</w:t>
      </w:r>
      <w:r w:rsidR="006B69A9" w:rsidRPr="009B0416">
        <w:rPr>
          <w:rFonts w:ascii="Times New Roman" w:eastAsia="標楷體" w:hAnsi="Times New Roman" w:cs="Times New Roman"/>
        </w:rPr>
        <w:t xml:space="preserve"> Gonzalez-Franco &amp; Peck, </w:t>
      </w:r>
      <w:proofErr w:type="gramStart"/>
      <w:r w:rsidR="006B69A9" w:rsidRPr="009B0416">
        <w:rPr>
          <w:rFonts w:ascii="Times New Roman" w:eastAsia="標楷體" w:hAnsi="Times New Roman" w:cs="Times New Roman"/>
        </w:rPr>
        <w:t>2018</w:t>
      </w:r>
      <w:r w:rsidR="006B69A9" w:rsidRPr="006B69A9">
        <w:rPr>
          <w:rFonts w:ascii="標楷體" w:eastAsia="標楷體" w:hAnsi="標楷體"/>
        </w:rPr>
        <w:t>)。</w:t>
      </w:r>
      <w:proofErr w:type="gramEnd"/>
    </w:p>
    <w:p w14:paraId="1EC34601" w14:textId="77777777" w:rsidR="004D7D09" w:rsidRDefault="004D7D09" w:rsidP="006B69A9">
      <w:pPr>
        <w:jc w:val="both"/>
        <w:rPr>
          <w:rFonts w:ascii="標楷體" w:eastAsia="標楷體" w:hAnsi="標楷體" w:hint="eastAsia"/>
        </w:rPr>
      </w:pPr>
    </w:p>
    <w:p w14:paraId="5507CC1E" w14:textId="3B1375E9" w:rsidR="004D7D09" w:rsidRPr="004D7D09" w:rsidRDefault="004D7D09" w:rsidP="004D7D09">
      <w:pPr>
        <w:jc w:val="center"/>
        <w:rPr>
          <w:rFonts w:ascii="Kozuka Mincho Pro M" w:hAnsi="Kozuka Mincho Pro M" w:hint="eastAsia"/>
          <w:sz w:val="18"/>
          <w:szCs w:val="16"/>
        </w:rPr>
      </w:pPr>
      <w:r w:rsidRPr="00C07125">
        <w:rPr>
          <w:rFonts w:ascii="標楷體" w:eastAsia="標楷體" w:hAnsi="標楷體" w:hint="eastAsia"/>
        </w:rPr>
        <w:t>表1身體所有權和代理感知自陳報告提問內容</w:t>
      </w:r>
      <w:r w:rsidRPr="003337E6">
        <w:rPr>
          <w:rFonts w:ascii="Times New Roman" w:eastAsia="Kozuka Mincho Pro M" w:hAnsi="Times New Roman" w:cs="Times New Roman"/>
          <w:sz w:val="20"/>
          <w:szCs w:val="18"/>
        </w:rPr>
        <w:t>（</w:t>
      </w:r>
      <w:r w:rsidRPr="003337E6">
        <w:rPr>
          <w:rFonts w:ascii="Times New Roman" w:eastAsia="Kozuka Mincho Pro M" w:hAnsi="Times New Roman" w:cs="Times New Roman"/>
          <w:sz w:val="20"/>
          <w:szCs w:val="18"/>
        </w:rPr>
        <w:t>Kong, He,&amp; Wei, 2017</w:t>
      </w:r>
      <w:r w:rsidRPr="003337E6">
        <w:rPr>
          <w:rFonts w:ascii="Times New Roman" w:eastAsia="Kozuka Mincho Pro M" w:hAnsi="Times New Roman" w:cs="Times New Roman"/>
          <w:sz w:val="20"/>
          <w:szCs w:val="18"/>
        </w:rPr>
        <w:t>）</w:t>
      </w:r>
    </w:p>
    <w:tbl>
      <w:tblPr>
        <w:tblStyle w:val="2"/>
        <w:tblpPr w:leftFromText="180" w:rightFromText="180" w:vertAnchor="text" w:horzAnchor="margin" w:tblpXSpec="center" w:tblpY="45"/>
        <w:tblW w:w="10632" w:type="dxa"/>
        <w:tblBorders>
          <w:top w:val="single" w:sz="12" w:space="0" w:color="auto"/>
          <w:bottom w:val="single" w:sz="12" w:space="0" w:color="auto"/>
        </w:tblBorders>
        <w:tblLook w:val="0600" w:firstRow="0" w:lastRow="0" w:firstColumn="0" w:lastColumn="0" w:noHBand="1" w:noVBand="1"/>
      </w:tblPr>
      <w:tblGrid>
        <w:gridCol w:w="2552"/>
        <w:gridCol w:w="8080"/>
      </w:tblGrid>
      <w:tr w:rsidR="004D7D09" w14:paraId="6D858723" w14:textId="77777777" w:rsidTr="004D7D09">
        <w:tc>
          <w:tcPr>
            <w:tcW w:w="2552" w:type="dxa"/>
            <w:tcBorders>
              <w:top w:val="single" w:sz="8" w:space="0" w:color="auto"/>
              <w:bottom w:val="single" w:sz="8" w:space="0" w:color="auto"/>
            </w:tcBorders>
          </w:tcPr>
          <w:p w14:paraId="2C0C3E20" w14:textId="77777777" w:rsidR="004D7D09" w:rsidRPr="00C262A8" w:rsidRDefault="004D7D09" w:rsidP="004D7D09">
            <w:pPr>
              <w:jc w:val="center"/>
              <w:rPr>
                <w:rFonts w:ascii="標楷體" w:eastAsia="標楷體" w:hAnsi="標楷體" w:hint="eastAsia"/>
              </w:rPr>
            </w:pPr>
            <w:r w:rsidRPr="00C262A8">
              <w:rPr>
                <w:rFonts w:ascii="標楷體" w:eastAsia="標楷體" w:hAnsi="標楷體" w:hint="eastAsia"/>
              </w:rPr>
              <w:t>類別</w:t>
            </w:r>
          </w:p>
        </w:tc>
        <w:tc>
          <w:tcPr>
            <w:tcW w:w="8080" w:type="dxa"/>
            <w:tcBorders>
              <w:top w:val="single" w:sz="8" w:space="0" w:color="auto"/>
              <w:bottom w:val="single" w:sz="8" w:space="0" w:color="auto"/>
            </w:tcBorders>
          </w:tcPr>
          <w:p w14:paraId="6CB81834" w14:textId="77777777" w:rsidR="004D7D09" w:rsidRPr="00076282" w:rsidRDefault="004D7D09" w:rsidP="004D7D09">
            <w:pPr>
              <w:jc w:val="center"/>
              <w:rPr>
                <w:rFonts w:ascii="標楷體" w:eastAsia="標楷體" w:hAnsi="標楷體" w:hint="eastAsia"/>
                <w:sz w:val="22"/>
                <w:szCs w:val="20"/>
              </w:rPr>
            </w:pPr>
            <w:r w:rsidRPr="00076282">
              <w:rPr>
                <w:rFonts w:ascii="標楷體" w:eastAsia="標楷體" w:hAnsi="標楷體" w:hint="eastAsia"/>
              </w:rPr>
              <w:t>提問內容</w:t>
            </w:r>
          </w:p>
        </w:tc>
      </w:tr>
      <w:tr w:rsidR="004D7D09" w14:paraId="7CCBDA6E" w14:textId="77777777" w:rsidTr="00CE1F0C">
        <w:trPr>
          <w:trHeight w:val="1636"/>
        </w:trPr>
        <w:tc>
          <w:tcPr>
            <w:tcW w:w="2552" w:type="dxa"/>
            <w:tcBorders>
              <w:top w:val="single" w:sz="8" w:space="0" w:color="auto"/>
              <w:bottom w:val="single" w:sz="8" w:space="0" w:color="auto"/>
            </w:tcBorders>
          </w:tcPr>
          <w:p w14:paraId="369E3A7C" w14:textId="77777777" w:rsidR="004D7D09" w:rsidRDefault="004D7D09" w:rsidP="004D7D09">
            <w:pPr>
              <w:jc w:val="center"/>
              <w:rPr>
                <w:rFonts w:ascii="標楷體" w:eastAsia="標楷體" w:hAnsi="標楷體"/>
                <w:sz w:val="22"/>
                <w:szCs w:val="20"/>
              </w:rPr>
            </w:pPr>
          </w:p>
          <w:p w14:paraId="6F3668C2" w14:textId="77777777" w:rsidR="004D7D09" w:rsidRDefault="004D7D09" w:rsidP="004D7D09">
            <w:pPr>
              <w:jc w:val="center"/>
              <w:rPr>
                <w:rFonts w:ascii="標楷體" w:eastAsia="標楷體" w:hAnsi="標楷體" w:hint="eastAsia"/>
                <w:sz w:val="22"/>
                <w:szCs w:val="20"/>
              </w:rPr>
            </w:pPr>
          </w:p>
          <w:p w14:paraId="155DBFC8" w14:textId="77777777" w:rsidR="004D7D09" w:rsidRDefault="004D7D09" w:rsidP="004D7D09">
            <w:pPr>
              <w:jc w:val="center"/>
              <w:rPr>
                <w:rFonts w:ascii="標楷體" w:eastAsia="標楷體" w:hAnsi="標楷體"/>
                <w:sz w:val="22"/>
                <w:szCs w:val="20"/>
              </w:rPr>
            </w:pPr>
            <w:r w:rsidRPr="00C262A8">
              <w:rPr>
                <w:rFonts w:ascii="標楷體" w:eastAsia="標楷體" w:hAnsi="標楷體" w:hint="eastAsia"/>
                <w:sz w:val="22"/>
                <w:szCs w:val="20"/>
              </w:rPr>
              <w:t>身體所有權-評價</w:t>
            </w:r>
          </w:p>
          <w:p w14:paraId="48932550" w14:textId="77777777" w:rsidR="004D7D09" w:rsidRPr="00C262A8" w:rsidRDefault="004D7D09" w:rsidP="004D7D09">
            <w:pPr>
              <w:jc w:val="center"/>
              <w:rPr>
                <w:rFonts w:ascii="Kozuka Mincho Pro M" w:eastAsia="Kozuka Mincho Pro M" w:hAnsi="Kozuka Mincho Pro M" w:hint="eastAsia"/>
              </w:rPr>
            </w:pPr>
            <w:r w:rsidRPr="003337E6">
              <w:rPr>
                <w:rFonts w:ascii="Times New Roman" w:eastAsia="Kozuka Mincho Pro M" w:hAnsi="Times New Roman" w:cs="Times New Roman" w:hint="eastAsia"/>
                <w:sz w:val="22"/>
                <w:szCs w:val="20"/>
              </w:rPr>
              <w:t>(</w:t>
            </w:r>
            <w:proofErr w:type="spellStart"/>
            <w:r w:rsidRPr="003337E6">
              <w:rPr>
                <w:rFonts w:ascii="Times New Roman" w:eastAsia="Kozuka Mincho Pro M" w:hAnsi="Times New Roman" w:cs="Times New Roman"/>
                <w:sz w:val="22"/>
                <w:szCs w:val="20"/>
              </w:rPr>
              <w:t>SoO</w:t>
            </w:r>
            <w:proofErr w:type="spellEnd"/>
            <w:r w:rsidRPr="003337E6">
              <w:rPr>
                <w:rFonts w:ascii="Times New Roman" w:eastAsia="Kozuka Mincho Pro M" w:hAnsi="Times New Roman" w:cs="Times New Roman" w:hint="eastAsia"/>
                <w:sz w:val="22"/>
                <w:szCs w:val="20"/>
              </w:rPr>
              <w:t>-</w:t>
            </w:r>
            <w:r w:rsidRPr="003337E6">
              <w:rPr>
                <w:rFonts w:ascii="Times New Roman" w:eastAsia="Kozuka Mincho Pro M" w:hAnsi="Times New Roman" w:cs="Times New Roman"/>
                <w:sz w:val="22"/>
                <w:szCs w:val="20"/>
              </w:rPr>
              <w:t>judgement)</w:t>
            </w:r>
          </w:p>
        </w:tc>
        <w:tc>
          <w:tcPr>
            <w:tcW w:w="8080" w:type="dxa"/>
            <w:tcBorders>
              <w:top w:val="single" w:sz="8" w:space="0" w:color="auto"/>
              <w:bottom w:val="single" w:sz="8" w:space="0" w:color="auto"/>
            </w:tcBorders>
          </w:tcPr>
          <w:p w14:paraId="500B36BE" w14:textId="77777777" w:rsidR="004D7D09" w:rsidRPr="00076282" w:rsidRDefault="004D7D09" w:rsidP="004D7D09">
            <w:pPr>
              <w:pStyle w:val="a3"/>
              <w:numPr>
                <w:ilvl w:val="0"/>
                <w:numId w:val="6"/>
              </w:numPr>
              <w:ind w:leftChars="0"/>
              <w:rPr>
                <w:rFonts w:ascii="標楷體" w:eastAsia="標楷體" w:hAnsi="標楷體"/>
                <w:sz w:val="22"/>
                <w:szCs w:val="20"/>
              </w:rPr>
            </w:pPr>
            <w:r w:rsidRPr="00076282">
              <w:rPr>
                <w:rFonts w:ascii="標楷體" w:eastAsia="標楷體" w:hAnsi="標楷體" w:hint="eastAsia"/>
                <w:sz w:val="22"/>
                <w:szCs w:val="20"/>
              </w:rPr>
              <w:t>我覺得我在看自己的手</w:t>
            </w:r>
            <w:r w:rsidRPr="00076282">
              <w:rPr>
                <w:rFonts w:ascii="標楷體" w:eastAsia="標楷體" w:hAnsi="標楷體"/>
                <w:sz w:val="22"/>
                <w:szCs w:val="20"/>
              </w:rPr>
              <w:t>。</w:t>
            </w:r>
          </w:p>
          <w:p w14:paraId="593FF834" w14:textId="77777777" w:rsidR="004D7D09" w:rsidRPr="003337E6" w:rsidRDefault="004D7D09" w:rsidP="004D7D09">
            <w:pPr>
              <w:pStyle w:val="a3"/>
              <w:ind w:leftChars="0"/>
              <w:rPr>
                <w:rFonts w:ascii="Times New Roman" w:eastAsia="Kozuka Mincho Pro M" w:hAnsi="Times New Roman" w:cs="Times New Roman" w:hint="eastAsia"/>
                <w:sz w:val="22"/>
                <w:szCs w:val="20"/>
              </w:rPr>
            </w:pPr>
            <w:r w:rsidRPr="003337E6">
              <w:rPr>
                <w:rFonts w:ascii="Times New Roman" w:eastAsia="Kozuka Mincho Pro M" w:hAnsi="Times New Roman" w:cs="Times New Roman"/>
                <w:sz w:val="22"/>
                <w:szCs w:val="20"/>
              </w:rPr>
              <w:t>(I felt like I was looking at my own hand.)</w:t>
            </w:r>
          </w:p>
          <w:p w14:paraId="0621D349" w14:textId="77777777" w:rsidR="004D7D09" w:rsidRDefault="004D7D09" w:rsidP="004D7D09">
            <w:pPr>
              <w:pStyle w:val="a3"/>
              <w:numPr>
                <w:ilvl w:val="0"/>
                <w:numId w:val="6"/>
              </w:numPr>
              <w:ind w:leftChars="0"/>
              <w:rPr>
                <w:rFonts w:ascii="標楷體" w:eastAsia="標楷體" w:hAnsi="標楷體"/>
                <w:sz w:val="22"/>
                <w:szCs w:val="20"/>
              </w:rPr>
            </w:pPr>
            <w:r w:rsidRPr="00076282">
              <w:rPr>
                <w:rFonts w:ascii="標楷體" w:eastAsia="標楷體" w:hAnsi="標楷體"/>
                <w:sz w:val="22"/>
                <w:szCs w:val="20"/>
              </w:rPr>
              <w:t>我覺得虛擬手是我身體的</w:t>
            </w:r>
            <w:proofErr w:type="gramStart"/>
            <w:r w:rsidRPr="00076282">
              <w:rPr>
                <w:rFonts w:ascii="標楷體" w:eastAsia="標楷體" w:hAnsi="標楷體"/>
                <w:sz w:val="22"/>
                <w:szCs w:val="20"/>
              </w:rPr>
              <w:t>一</w:t>
            </w:r>
            <w:proofErr w:type="gramEnd"/>
            <w:r w:rsidRPr="00076282">
              <w:rPr>
                <w:rFonts w:ascii="標楷體" w:eastAsia="標楷體" w:hAnsi="標楷體"/>
                <w:sz w:val="22"/>
                <w:szCs w:val="20"/>
              </w:rPr>
              <w:t xml:space="preserve">部份。 </w:t>
            </w:r>
          </w:p>
          <w:p w14:paraId="5AB35CAD" w14:textId="77777777" w:rsidR="004D7D09" w:rsidRPr="003337E6" w:rsidRDefault="004D7D09" w:rsidP="004D7D09">
            <w:pPr>
              <w:pStyle w:val="a3"/>
              <w:ind w:leftChars="0"/>
              <w:rPr>
                <w:rFonts w:ascii="標楷體" w:eastAsia="標楷體" w:hAnsi="標楷體" w:hint="eastAsia"/>
                <w:sz w:val="28"/>
                <w:szCs w:val="24"/>
              </w:rPr>
            </w:pPr>
            <w:r w:rsidRPr="003337E6">
              <w:rPr>
                <w:rFonts w:ascii="Times New Roman" w:eastAsia="Kozuka Mincho Pro M" w:hAnsi="Times New Roman" w:cs="Times New Roman"/>
                <w:sz w:val="22"/>
                <w:szCs w:val="20"/>
              </w:rPr>
              <w:t>(I felt like the virtual hand was part of my body.)</w:t>
            </w:r>
          </w:p>
          <w:p w14:paraId="2DF74BCA" w14:textId="77777777" w:rsidR="004D7D09" w:rsidRPr="003337E6" w:rsidRDefault="004D7D09" w:rsidP="004D7D09">
            <w:pPr>
              <w:pStyle w:val="a3"/>
              <w:numPr>
                <w:ilvl w:val="0"/>
                <w:numId w:val="6"/>
              </w:numPr>
              <w:ind w:leftChars="0"/>
              <w:rPr>
                <w:rFonts w:ascii="標楷體" w:eastAsia="標楷體" w:hAnsi="標楷體"/>
                <w:sz w:val="22"/>
                <w:szCs w:val="20"/>
              </w:rPr>
            </w:pPr>
            <w:r w:rsidRPr="00076282">
              <w:rPr>
                <w:rFonts w:ascii="標楷體" w:eastAsia="標楷體" w:hAnsi="標楷體"/>
                <w:sz w:val="22"/>
                <w:szCs w:val="20"/>
              </w:rPr>
              <w:t>我看到動作時好像手在按。</w:t>
            </w:r>
            <w:r w:rsidRPr="003337E6">
              <w:rPr>
                <w:rFonts w:ascii="Times New Roman" w:eastAsia="Kozuka Mincho Pro M" w:hAnsi="Times New Roman" w:cs="Times New Roman"/>
                <w:sz w:val="22"/>
                <w:szCs w:val="20"/>
              </w:rPr>
              <w:t xml:space="preserve"> </w:t>
            </w:r>
          </w:p>
          <w:p w14:paraId="0323504A" w14:textId="77777777" w:rsidR="004D7D09" w:rsidRPr="00076282" w:rsidRDefault="004D7D09" w:rsidP="004D7D09">
            <w:pPr>
              <w:pStyle w:val="a3"/>
              <w:ind w:leftChars="0"/>
              <w:rPr>
                <w:rFonts w:ascii="標楷體" w:eastAsia="標楷體" w:hAnsi="標楷體" w:hint="eastAsia"/>
                <w:sz w:val="22"/>
                <w:szCs w:val="20"/>
              </w:rPr>
            </w:pPr>
            <w:r w:rsidRPr="003337E6">
              <w:rPr>
                <w:rFonts w:ascii="Times New Roman" w:eastAsia="Kozuka Mincho Pro M" w:hAnsi="Times New Roman" w:cs="Times New Roman"/>
                <w:sz w:val="22"/>
                <w:szCs w:val="20"/>
              </w:rPr>
              <w:t>(It seemed as if my hand was pressing when I saw the movement</w:t>
            </w:r>
            <w:r>
              <w:rPr>
                <w:rFonts w:ascii="Times New Roman" w:eastAsia="Kozuka Mincho Pro M" w:hAnsi="Times New Roman" w:cs="Times New Roman"/>
                <w:sz w:val="22"/>
                <w:szCs w:val="20"/>
              </w:rPr>
              <w:t>.</w:t>
            </w:r>
            <w:r w:rsidRPr="003337E6">
              <w:rPr>
                <w:rFonts w:ascii="Times New Roman" w:eastAsia="Kozuka Mincho Pro M" w:hAnsi="Times New Roman" w:cs="Times New Roman"/>
                <w:sz w:val="22"/>
                <w:szCs w:val="20"/>
              </w:rPr>
              <w:t>)</w:t>
            </w:r>
          </w:p>
        </w:tc>
      </w:tr>
      <w:tr w:rsidR="004D7D09" w14:paraId="45EC3DFE" w14:textId="77777777" w:rsidTr="00CE1F0C">
        <w:trPr>
          <w:trHeight w:val="1688"/>
        </w:trPr>
        <w:tc>
          <w:tcPr>
            <w:tcW w:w="2552" w:type="dxa"/>
            <w:tcBorders>
              <w:top w:val="single" w:sz="8" w:space="0" w:color="auto"/>
              <w:bottom w:val="single" w:sz="8" w:space="0" w:color="auto"/>
            </w:tcBorders>
          </w:tcPr>
          <w:p w14:paraId="3387ACF8" w14:textId="77777777" w:rsidR="004D7D09" w:rsidRDefault="004D7D09" w:rsidP="004D7D09">
            <w:pPr>
              <w:jc w:val="center"/>
              <w:rPr>
                <w:rFonts w:ascii="標楷體" w:eastAsia="標楷體" w:hAnsi="標楷體"/>
                <w:sz w:val="22"/>
                <w:szCs w:val="20"/>
              </w:rPr>
            </w:pPr>
          </w:p>
          <w:p w14:paraId="77036C00" w14:textId="77777777" w:rsidR="004D7D09" w:rsidRDefault="004D7D09" w:rsidP="004D7D09">
            <w:pPr>
              <w:jc w:val="center"/>
              <w:rPr>
                <w:rFonts w:ascii="標楷體" w:eastAsia="標楷體" w:hAnsi="標楷體"/>
                <w:sz w:val="22"/>
                <w:szCs w:val="20"/>
              </w:rPr>
            </w:pPr>
          </w:p>
          <w:p w14:paraId="595327E5" w14:textId="77777777" w:rsidR="004D7D09" w:rsidRDefault="004D7D09" w:rsidP="004D7D09">
            <w:pPr>
              <w:jc w:val="center"/>
            </w:pPr>
            <w:r w:rsidRPr="003337E6">
              <w:rPr>
                <w:rFonts w:ascii="標楷體" w:eastAsia="標楷體" w:hAnsi="標楷體"/>
                <w:sz w:val="22"/>
                <w:szCs w:val="20"/>
              </w:rPr>
              <w:t>代理感-評價</w:t>
            </w:r>
          </w:p>
          <w:p w14:paraId="662E6B9C" w14:textId="77777777" w:rsidR="004D7D09" w:rsidRDefault="004D7D09" w:rsidP="004D7D09">
            <w:pPr>
              <w:jc w:val="center"/>
              <w:rPr>
                <w:rFonts w:ascii="標楷體" w:eastAsia="標楷體" w:hAnsi="標楷體"/>
                <w:sz w:val="22"/>
                <w:szCs w:val="20"/>
              </w:rPr>
            </w:pPr>
            <w:r w:rsidRPr="00321EC3">
              <w:rPr>
                <w:rFonts w:ascii="Times New Roman" w:eastAsia="Kozuka Mincho Pro M" w:hAnsi="Times New Roman" w:cs="Times New Roman"/>
                <w:sz w:val="22"/>
                <w:szCs w:val="20"/>
              </w:rPr>
              <w:t>(</w:t>
            </w:r>
            <w:proofErr w:type="spellStart"/>
            <w:r w:rsidRPr="00321EC3">
              <w:rPr>
                <w:rFonts w:ascii="Times New Roman" w:eastAsia="Kozuka Mincho Pro M" w:hAnsi="Times New Roman" w:cs="Times New Roman"/>
                <w:sz w:val="22"/>
                <w:szCs w:val="20"/>
              </w:rPr>
              <w:t>SoA</w:t>
            </w:r>
            <w:proofErr w:type="spellEnd"/>
            <w:r w:rsidRPr="00321EC3">
              <w:rPr>
                <w:rFonts w:ascii="Times New Roman" w:eastAsia="Kozuka Mincho Pro M" w:hAnsi="Times New Roman" w:cs="Times New Roman"/>
                <w:sz w:val="22"/>
                <w:szCs w:val="20"/>
              </w:rPr>
              <w:t>-judgement)</w:t>
            </w:r>
          </w:p>
        </w:tc>
        <w:tc>
          <w:tcPr>
            <w:tcW w:w="8080" w:type="dxa"/>
            <w:tcBorders>
              <w:top w:val="single" w:sz="8" w:space="0" w:color="auto"/>
              <w:bottom w:val="single" w:sz="8" w:space="0" w:color="auto"/>
            </w:tcBorders>
          </w:tcPr>
          <w:p w14:paraId="1DE31D56" w14:textId="77777777" w:rsidR="004D7D09" w:rsidRDefault="004D7D09" w:rsidP="004D7D09">
            <w:pPr>
              <w:pStyle w:val="a3"/>
              <w:numPr>
                <w:ilvl w:val="0"/>
                <w:numId w:val="6"/>
              </w:numPr>
              <w:ind w:leftChars="0"/>
              <w:rPr>
                <w:rFonts w:ascii="標楷體" w:eastAsia="標楷體" w:hAnsi="標楷體"/>
                <w:sz w:val="22"/>
                <w:szCs w:val="20"/>
              </w:rPr>
            </w:pPr>
            <w:r w:rsidRPr="003337E6">
              <w:rPr>
                <w:rFonts w:ascii="標楷體" w:eastAsia="標楷體" w:hAnsi="標楷體"/>
                <w:sz w:val="22"/>
                <w:szCs w:val="20"/>
              </w:rPr>
              <w:t xml:space="preserve">虛擬手好像照我的意志移動了。 </w:t>
            </w:r>
          </w:p>
          <w:p w14:paraId="2CE921AB" w14:textId="77777777" w:rsidR="004D7D09" w:rsidRPr="00321EC3" w:rsidRDefault="004D7D09" w:rsidP="004D7D09">
            <w:pPr>
              <w:pStyle w:val="a3"/>
              <w:ind w:leftChars="0"/>
              <w:rPr>
                <w:rFonts w:ascii="Times New Roman" w:eastAsia="Kozuka Mincho Pro M" w:hAnsi="Times New Roman" w:cs="Times New Roman" w:hint="eastAsia"/>
                <w:sz w:val="22"/>
                <w:szCs w:val="20"/>
              </w:rPr>
            </w:pPr>
            <w:r w:rsidRPr="00321EC3">
              <w:rPr>
                <w:rFonts w:ascii="Times New Roman" w:eastAsia="Kozuka Mincho Pro M" w:hAnsi="Times New Roman" w:cs="Times New Roman"/>
                <w:sz w:val="22"/>
                <w:szCs w:val="20"/>
              </w:rPr>
              <w:t xml:space="preserve">(It seemed as if the virtual hand moved obeying my will.) </w:t>
            </w:r>
          </w:p>
          <w:p w14:paraId="06BD6428" w14:textId="77777777" w:rsidR="004D7D09" w:rsidRDefault="004D7D09" w:rsidP="004D7D09">
            <w:pPr>
              <w:pStyle w:val="a3"/>
              <w:numPr>
                <w:ilvl w:val="0"/>
                <w:numId w:val="6"/>
              </w:numPr>
              <w:ind w:leftChars="0"/>
              <w:rPr>
                <w:rFonts w:ascii="標楷體" w:eastAsia="標楷體" w:hAnsi="標楷體"/>
                <w:sz w:val="22"/>
                <w:szCs w:val="20"/>
              </w:rPr>
            </w:pPr>
            <w:r w:rsidRPr="003337E6">
              <w:rPr>
                <w:rFonts w:ascii="標楷體" w:eastAsia="標楷體" w:hAnsi="標楷體"/>
                <w:sz w:val="22"/>
                <w:szCs w:val="20"/>
              </w:rPr>
              <w:t>好像是虛擬手按下而不是我。</w:t>
            </w:r>
          </w:p>
          <w:p w14:paraId="2AB80D80" w14:textId="77777777" w:rsidR="004D7D09" w:rsidRDefault="004D7D09" w:rsidP="004D7D09">
            <w:pPr>
              <w:pStyle w:val="a3"/>
              <w:ind w:leftChars="0"/>
              <w:rPr>
                <w:rFonts w:ascii="標楷體" w:eastAsia="標楷體" w:hAnsi="標楷體" w:hint="eastAsia"/>
                <w:sz w:val="22"/>
                <w:szCs w:val="20"/>
              </w:rPr>
            </w:pPr>
            <w:r w:rsidRPr="00321EC3">
              <w:rPr>
                <w:rFonts w:ascii="Times New Roman" w:eastAsia="Kozuka Mincho Pro M" w:hAnsi="Times New Roman" w:cs="Times New Roman"/>
                <w:sz w:val="22"/>
                <w:szCs w:val="20"/>
              </w:rPr>
              <w:t>(It seemed as if the virtual hand pressed the button instead of me.)</w:t>
            </w:r>
          </w:p>
          <w:p w14:paraId="71EABF77" w14:textId="77777777" w:rsidR="004D7D09" w:rsidRPr="003337E6" w:rsidRDefault="004D7D09" w:rsidP="004D7D09">
            <w:pPr>
              <w:pStyle w:val="a3"/>
              <w:numPr>
                <w:ilvl w:val="0"/>
                <w:numId w:val="6"/>
              </w:numPr>
              <w:ind w:leftChars="0"/>
              <w:rPr>
                <w:rFonts w:ascii="標楷體" w:eastAsia="標楷體" w:hAnsi="標楷體" w:hint="eastAsia"/>
                <w:sz w:val="22"/>
                <w:szCs w:val="20"/>
              </w:rPr>
            </w:pPr>
            <w:r w:rsidRPr="003337E6">
              <w:rPr>
                <w:rFonts w:ascii="標楷體" w:eastAsia="標楷體" w:hAnsi="標楷體"/>
                <w:sz w:val="22"/>
                <w:szCs w:val="20"/>
              </w:rPr>
              <w:t>如果我移動手指，我感覺虛擬手指也會以同樣的方式移動。</w:t>
            </w:r>
          </w:p>
          <w:p w14:paraId="55C01B82" w14:textId="77777777" w:rsidR="004D7D09" w:rsidRPr="003337E6" w:rsidRDefault="004D7D09" w:rsidP="004D7D09">
            <w:pPr>
              <w:ind w:firstLineChars="200" w:firstLine="440"/>
              <w:rPr>
                <w:rFonts w:ascii="標楷體" w:eastAsia="標楷體" w:hAnsi="標楷體" w:hint="eastAsia"/>
                <w:sz w:val="22"/>
                <w:szCs w:val="20"/>
              </w:rPr>
            </w:pPr>
            <w:r w:rsidRPr="00321EC3">
              <w:rPr>
                <w:rFonts w:ascii="Times New Roman" w:eastAsia="Kozuka Mincho Pro M" w:hAnsi="Times New Roman" w:cs="Times New Roman"/>
                <w:sz w:val="22"/>
                <w:szCs w:val="20"/>
              </w:rPr>
              <w:t>(If I moved my finger, I felt that the virtual finger would move in the same way.)</w:t>
            </w:r>
          </w:p>
        </w:tc>
      </w:tr>
      <w:tr w:rsidR="004D7D09" w14:paraId="2C73612B" w14:textId="77777777" w:rsidTr="00CE1F0C">
        <w:trPr>
          <w:trHeight w:val="1131"/>
        </w:trPr>
        <w:tc>
          <w:tcPr>
            <w:tcW w:w="2552" w:type="dxa"/>
            <w:tcBorders>
              <w:top w:val="single" w:sz="8" w:space="0" w:color="auto"/>
              <w:bottom w:val="single" w:sz="8" w:space="0" w:color="auto"/>
            </w:tcBorders>
          </w:tcPr>
          <w:p w14:paraId="1313051B" w14:textId="77777777" w:rsidR="004D7D09" w:rsidRDefault="004D7D09" w:rsidP="004D7D09">
            <w:pPr>
              <w:jc w:val="center"/>
              <w:rPr>
                <w:rFonts w:ascii="標楷體" w:eastAsia="標楷體" w:hAnsi="標楷體"/>
                <w:sz w:val="22"/>
                <w:szCs w:val="20"/>
              </w:rPr>
            </w:pPr>
          </w:p>
          <w:p w14:paraId="5BB78964" w14:textId="77777777" w:rsidR="004D7D09" w:rsidRDefault="004D7D09" w:rsidP="004D7D09">
            <w:pPr>
              <w:jc w:val="center"/>
              <w:rPr>
                <w:rFonts w:ascii="標楷體" w:eastAsia="標楷體" w:hAnsi="標楷體"/>
                <w:sz w:val="22"/>
                <w:szCs w:val="20"/>
              </w:rPr>
            </w:pPr>
            <w:r w:rsidRPr="006E6BD2">
              <w:rPr>
                <w:rFonts w:ascii="標楷體" w:eastAsia="標楷體" w:hAnsi="標楷體"/>
                <w:sz w:val="22"/>
                <w:szCs w:val="20"/>
              </w:rPr>
              <w:t>代理感-控制</w:t>
            </w:r>
          </w:p>
          <w:p w14:paraId="2B1E9E17" w14:textId="77777777" w:rsidR="004D7D09" w:rsidRPr="00321EC3" w:rsidRDefault="004D7D09" w:rsidP="004D7D09">
            <w:pPr>
              <w:jc w:val="center"/>
              <w:rPr>
                <w:rFonts w:ascii="標楷體" w:eastAsia="標楷體" w:hAnsi="標楷體"/>
                <w:sz w:val="22"/>
                <w:szCs w:val="20"/>
              </w:rPr>
            </w:pPr>
            <w:r w:rsidRPr="006E6BD2">
              <w:rPr>
                <w:rFonts w:ascii="Times New Roman" w:eastAsia="Kozuka Mincho Pro M" w:hAnsi="Times New Roman" w:cs="Times New Roman"/>
                <w:sz w:val="22"/>
                <w:szCs w:val="20"/>
              </w:rPr>
              <w:t>(</w:t>
            </w:r>
            <w:proofErr w:type="spellStart"/>
            <w:r w:rsidRPr="006E6BD2">
              <w:rPr>
                <w:rFonts w:ascii="Times New Roman" w:eastAsia="Kozuka Mincho Pro M" w:hAnsi="Times New Roman" w:cs="Times New Roman"/>
                <w:sz w:val="22"/>
                <w:szCs w:val="20"/>
              </w:rPr>
              <w:t>SoA</w:t>
            </w:r>
            <w:proofErr w:type="spellEnd"/>
            <w:r w:rsidRPr="006E6BD2">
              <w:rPr>
                <w:rFonts w:ascii="Times New Roman" w:eastAsia="Kozuka Mincho Pro M" w:hAnsi="Times New Roman" w:cs="Times New Roman"/>
                <w:sz w:val="22"/>
                <w:szCs w:val="20"/>
              </w:rPr>
              <w:t>-control)</w:t>
            </w:r>
          </w:p>
        </w:tc>
        <w:tc>
          <w:tcPr>
            <w:tcW w:w="8080" w:type="dxa"/>
            <w:tcBorders>
              <w:top w:val="single" w:sz="8" w:space="0" w:color="auto"/>
              <w:bottom w:val="single" w:sz="8" w:space="0" w:color="auto"/>
            </w:tcBorders>
          </w:tcPr>
          <w:p w14:paraId="50A3AD40" w14:textId="77777777" w:rsidR="004D7D09" w:rsidRPr="006E6BD2" w:rsidRDefault="004D7D09" w:rsidP="004D7D09">
            <w:pPr>
              <w:pStyle w:val="a3"/>
              <w:numPr>
                <w:ilvl w:val="0"/>
                <w:numId w:val="6"/>
              </w:numPr>
              <w:ind w:leftChars="0"/>
              <w:rPr>
                <w:rFonts w:ascii="標楷體" w:eastAsia="標楷體" w:hAnsi="標楷體"/>
                <w:sz w:val="22"/>
                <w:szCs w:val="20"/>
              </w:rPr>
            </w:pPr>
            <w:r w:rsidRPr="006E6BD2">
              <w:rPr>
                <w:rFonts w:ascii="標楷體" w:eastAsia="標楷體" w:hAnsi="標楷體"/>
                <w:sz w:val="22"/>
                <w:szCs w:val="20"/>
              </w:rPr>
              <w:t>我覺得虛擬手的動作和我沒有關係。</w:t>
            </w:r>
          </w:p>
          <w:p w14:paraId="323A425F" w14:textId="77777777" w:rsidR="004D7D09" w:rsidRPr="006E6BD2" w:rsidRDefault="004D7D09" w:rsidP="004D7D09">
            <w:pPr>
              <w:pStyle w:val="a3"/>
              <w:ind w:leftChars="0"/>
              <w:rPr>
                <w:rFonts w:ascii="Times New Roman" w:eastAsia="Kozuka Mincho Pro M" w:hAnsi="Times New Roman" w:cs="Times New Roman" w:hint="eastAsia"/>
                <w:sz w:val="22"/>
                <w:szCs w:val="20"/>
              </w:rPr>
            </w:pPr>
            <w:r w:rsidRPr="006E6BD2">
              <w:rPr>
                <w:rFonts w:ascii="Times New Roman" w:eastAsia="Kozuka Mincho Pro M" w:hAnsi="Times New Roman" w:cs="Times New Roman"/>
                <w:sz w:val="22"/>
                <w:szCs w:val="20"/>
              </w:rPr>
              <w:t>(I felt as if the movement of virtual hand had no relationship with me.)</w:t>
            </w:r>
          </w:p>
          <w:p w14:paraId="0011135A" w14:textId="77777777" w:rsidR="004D7D09" w:rsidRDefault="004D7D09" w:rsidP="004D7D09">
            <w:pPr>
              <w:pStyle w:val="a3"/>
              <w:numPr>
                <w:ilvl w:val="0"/>
                <w:numId w:val="6"/>
              </w:numPr>
              <w:ind w:leftChars="0"/>
              <w:rPr>
                <w:rFonts w:ascii="標楷體" w:eastAsia="標楷體" w:hAnsi="標楷體"/>
                <w:sz w:val="22"/>
                <w:szCs w:val="20"/>
              </w:rPr>
            </w:pPr>
            <w:r w:rsidRPr="006E6BD2">
              <w:rPr>
                <w:rFonts w:ascii="標楷體" w:eastAsia="標楷體" w:hAnsi="標楷體"/>
                <w:sz w:val="22"/>
                <w:szCs w:val="20"/>
              </w:rPr>
              <w:t>虛擬手好像有</w:t>
            </w:r>
            <w:proofErr w:type="gramStart"/>
            <w:r w:rsidRPr="006E6BD2">
              <w:rPr>
                <w:rFonts w:ascii="標楷體" w:eastAsia="標楷體" w:hAnsi="標楷體"/>
                <w:sz w:val="22"/>
                <w:szCs w:val="20"/>
              </w:rPr>
              <w:t>自已</w:t>
            </w:r>
            <w:proofErr w:type="gramEnd"/>
            <w:r w:rsidRPr="006E6BD2">
              <w:rPr>
                <w:rFonts w:ascii="標楷體" w:eastAsia="標楷體" w:hAnsi="標楷體"/>
                <w:sz w:val="22"/>
                <w:szCs w:val="20"/>
              </w:rPr>
              <w:t>的意志。</w:t>
            </w:r>
          </w:p>
          <w:p w14:paraId="2A201932" w14:textId="77777777" w:rsidR="004D7D09" w:rsidRPr="00076282" w:rsidRDefault="004D7D09" w:rsidP="004D7D09">
            <w:pPr>
              <w:pStyle w:val="a3"/>
              <w:ind w:leftChars="0"/>
              <w:rPr>
                <w:rFonts w:ascii="標楷體" w:eastAsia="標楷體" w:hAnsi="標楷體" w:hint="eastAsia"/>
                <w:sz w:val="22"/>
                <w:szCs w:val="20"/>
              </w:rPr>
            </w:pPr>
            <w:r w:rsidRPr="006E6BD2">
              <w:rPr>
                <w:rFonts w:ascii="Times New Roman" w:eastAsia="Kozuka Mincho Pro M" w:hAnsi="Times New Roman" w:cs="Times New Roman"/>
                <w:sz w:val="22"/>
                <w:szCs w:val="20"/>
              </w:rPr>
              <w:t>(It seemed as if the virtual hand had a will on its own.)</w:t>
            </w:r>
          </w:p>
        </w:tc>
      </w:tr>
    </w:tbl>
    <w:p w14:paraId="47443A78" w14:textId="77777777" w:rsidR="005F0737" w:rsidRDefault="005F0737" w:rsidP="005F0737">
      <w:pPr>
        <w:ind w:left="360"/>
        <w:rPr>
          <w:rFonts w:ascii="標楷體" w:eastAsia="標楷體" w:hAnsi="標楷體"/>
          <w:b/>
          <w:bCs/>
        </w:rPr>
      </w:pPr>
    </w:p>
    <w:p w14:paraId="41860B9A" w14:textId="0AFF9B31" w:rsidR="0057272F" w:rsidRPr="005F0737" w:rsidRDefault="0057272F" w:rsidP="005F0737">
      <w:pPr>
        <w:pStyle w:val="a3"/>
        <w:numPr>
          <w:ilvl w:val="1"/>
          <w:numId w:val="6"/>
        </w:numPr>
        <w:ind w:leftChars="0"/>
        <w:rPr>
          <w:rFonts w:ascii="標楷體" w:eastAsia="標楷體" w:hAnsi="標楷體"/>
          <w:b/>
          <w:bCs/>
        </w:rPr>
      </w:pPr>
      <w:r w:rsidRPr="005F0737">
        <w:rPr>
          <w:rFonts w:ascii="標楷體" w:eastAsia="標楷體" w:hAnsi="標楷體" w:hint="eastAsia"/>
          <w:b/>
          <w:bCs/>
        </w:rPr>
        <w:t>橡膠手實驗</w:t>
      </w:r>
    </w:p>
    <w:p w14:paraId="4CAE46FA" w14:textId="003BE858" w:rsidR="00F47F9B" w:rsidRDefault="003C7F16" w:rsidP="00F47F9B">
      <w:pPr>
        <w:pStyle w:val="a3"/>
        <w:ind w:leftChars="0" w:left="1080"/>
        <w:rPr>
          <w:rFonts w:ascii="標楷體" w:eastAsia="標楷體" w:hAnsi="標楷體"/>
          <w:sz w:val="22"/>
          <w:szCs w:val="20"/>
        </w:rPr>
      </w:pPr>
      <w:proofErr w:type="spellStart"/>
      <w:r w:rsidRPr="004B3605">
        <w:rPr>
          <w:rFonts w:ascii="Times New Roman" w:eastAsia="Kozuka Mincho Pro M" w:hAnsi="Times New Roman" w:cs="Times New Roman" w:hint="eastAsia"/>
          <w:sz w:val="22"/>
          <w:szCs w:val="20"/>
        </w:rPr>
        <w:t>Bo</w:t>
      </w:r>
      <w:r w:rsidRPr="004B3605">
        <w:rPr>
          <w:rFonts w:ascii="Times New Roman" w:eastAsia="Kozuka Mincho Pro M" w:hAnsi="Times New Roman" w:cs="Times New Roman"/>
          <w:sz w:val="22"/>
          <w:szCs w:val="20"/>
        </w:rPr>
        <w:t>tvinic</w:t>
      </w:r>
      <w:proofErr w:type="spellEnd"/>
      <w:r w:rsidRPr="004B3605">
        <w:rPr>
          <w:rFonts w:ascii="Times New Roman" w:eastAsia="Kozuka Mincho Pro M" w:hAnsi="Times New Roman" w:cs="Times New Roman"/>
          <w:sz w:val="22"/>
          <w:szCs w:val="20"/>
        </w:rPr>
        <w:t xml:space="preserve"> &amp; Cohen</w:t>
      </w:r>
      <w:r w:rsidRPr="004B3605">
        <w:rPr>
          <w:rFonts w:ascii="標楷體" w:eastAsia="標楷體" w:hAnsi="標楷體" w:hint="eastAsia"/>
          <w:sz w:val="22"/>
          <w:szCs w:val="20"/>
        </w:rPr>
        <w:t>（1998）所建構的一項經典認知實驗：利用兩支畫筆同時</w:t>
      </w:r>
      <w:proofErr w:type="gramStart"/>
      <w:r w:rsidRPr="004B3605">
        <w:rPr>
          <w:rFonts w:ascii="標楷體" w:eastAsia="標楷體" w:hAnsi="標楷體" w:hint="eastAsia"/>
          <w:sz w:val="22"/>
          <w:szCs w:val="20"/>
        </w:rPr>
        <w:t>撫觸受測</w:t>
      </w:r>
      <w:proofErr w:type="gramEnd"/>
      <w:r w:rsidRPr="004B3605">
        <w:rPr>
          <w:rFonts w:ascii="標楷體" w:eastAsia="標楷體" w:hAnsi="標楷體" w:hint="eastAsia"/>
          <w:sz w:val="22"/>
          <w:szCs w:val="20"/>
        </w:rPr>
        <w:t>者被隱藏</w:t>
      </w:r>
      <w:proofErr w:type="gramStart"/>
      <w:r w:rsidRPr="004B3605">
        <w:rPr>
          <w:rFonts w:ascii="標楷體" w:eastAsia="標楷體" w:hAnsi="標楷體" w:hint="eastAsia"/>
          <w:sz w:val="22"/>
          <w:szCs w:val="20"/>
        </w:rPr>
        <w:t>的</w:t>
      </w:r>
      <w:r w:rsidR="004B3605">
        <w:rPr>
          <w:rFonts w:ascii="標楷體" w:eastAsia="標楷體" w:hAnsi="標楷體" w:hint="eastAsia"/>
          <w:sz w:val="22"/>
          <w:szCs w:val="20"/>
        </w:rPr>
        <w:t>真</w:t>
      </w:r>
      <w:r w:rsidRPr="004B3605">
        <w:rPr>
          <w:rFonts w:ascii="標楷體" w:eastAsia="標楷體" w:hAnsi="標楷體" w:hint="eastAsia"/>
          <w:sz w:val="22"/>
          <w:szCs w:val="20"/>
        </w:rPr>
        <w:t>手以及</w:t>
      </w:r>
      <w:proofErr w:type="gramEnd"/>
      <w:r w:rsidRPr="004B3605">
        <w:rPr>
          <w:rFonts w:ascii="標楷體" w:eastAsia="標楷體" w:hAnsi="標楷體" w:hint="eastAsia"/>
          <w:sz w:val="22"/>
          <w:szCs w:val="20"/>
        </w:rPr>
        <w:t>可見的假手，受測者對於假手產生強烈的身體所有權感。這種將身體所有權歸屬於外部實體</w:t>
      </w:r>
      <w:r w:rsidRPr="004B3605">
        <w:rPr>
          <w:rFonts w:ascii="標楷體" w:eastAsia="標楷體" w:hAnsi="標楷體" w:hint="eastAsia"/>
          <w:sz w:val="22"/>
          <w:szCs w:val="20"/>
        </w:rPr>
        <w:t>（</w:t>
      </w:r>
      <w:r w:rsidR="004B3605" w:rsidRPr="004B3605">
        <w:rPr>
          <w:rFonts w:ascii="標楷體" w:eastAsia="標楷體" w:hAnsi="標楷體" w:hint="eastAsia"/>
          <w:sz w:val="22"/>
          <w:szCs w:val="20"/>
        </w:rPr>
        <w:t>虛擬化身</w:t>
      </w:r>
      <w:r w:rsidRPr="004B3605">
        <w:rPr>
          <w:rFonts w:ascii="標楷體" w:eastAsia="標楷體" w:hAnsi="標楷體" w:hint="eastAsia"/>
          <w:sz w:val="22"/>
          <w:szCs w:val="20"/>
        </w:rPr>
        <w:t>）</w:t>
      </w:r>
      <w:r w:rsidR="004B3605" w:rsidRPr="004B3605">
        <w:rPr>
          <w:rFonts w:ascii="標楷體" w:eastAsia="標楷體" w:hAnsi="標楷體" w:hint="eastAsia"/>
          <w:sz w:val="22"/>
          <w:szCs w:val="20"/>
        </w:rPr>
        <w:t>的實驗經常在基於虛擬體驗的身體所有權研究中重現。</w:t>
      </w:r>
    </w:p>
    <w:p w14:paraId="154D1618" w14:textId="2551FD38" w:rsidR="005F0737" w:rsidRDefault="005F0737" w:rsidP="00F47F9B">
      <w:pPr>
        <w:pStyle w:val="a3"/>
        <w:ind w:leftChars="0" w:left="1080"/>
        <w:rPr>
          <w:rFonts w:ascii="標楷體" w:eastAsia="標楷體" w:hAnsi="標楷體"/>
          <w:sz w:val="22"/>
          <w:szCs w:val="20"/>
        </w:rPr>
      </w:pPr>
      <w:r>
        <w:rPr>
          <w:noProof/>
        </w:rPr>
        <w:lastRenderedPageBreak/>
        <w:drawing>
          <wp:inline distT="0" distB="0" distL="0" distR="0" wp14:anchorId="480E8DE4" wp14:editId="454C5FC6">
            <wp:extent cx="2147455" cy="1432843"/>
            <wp:effectExtent l="0" t="0" r="0" b="0"/>
            <wp:docPr id="1" name="圖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6133" cy="1438633"/>
                    </a:xfrm>
                    <a:prstGeom prst="rect">
                      <a:avLst/>
                    </a:prstGeom>
                    <a:noFill/>
                    <a:ln>
                      <a:noFill/>
                    </a:ln>
                  </pic:spPr>
                </pic:pic>
              </a:graphicData>
            </a:graphic>
          </wp:inline>
        </w:drawing>
      </w:r>
      <w:r w:rsidR="00490B4F">
        <w:rPr>
          <w:noProof/>
        </w:rPr>
        <w:drawing>
          <wp:inline distT="0" distB="0" distL="0" distR="0" wp14:anchorId="262BBC1F" wp14:editId="4DE31417">
            <wp:extent cx="1892300" cy="1451234"/>
            <wp:effectExtent l="0" t="0" r="0" b="0"/>
            <wp:docPr id="2" name="圖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片"/>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3071" cy="1467164"/>
                    </a:xfrm>
                    <a:prstGeom prst="rect">
                      <a:avLst/>
                    </a:prstGeom>
                    <a:noFill/>
                    <a:ln>
                      <a:noFill/>
                    </a:ln>
                  </pic:spPr>
                </pic:pic>
              </a:graphicData>
            </a:graphic>
          </wp:inline>
        </w:drawing>
      </w:r>
    </w:p>
    <w:p w14:paraId="556C1666" w14:textId="6A8DB9AA" w:rsidR="002E7CCA" w:rsidRPr="004B3605" w:rsidRDefault="002E7CCA" w:rsidP="002E7CCA">
      <w:pPr>
        <w:pStyle w:val="a3"/>
        <w:ind w:leftChars="0" w:left="1080"/>
        <w:jc w:val="center"/>
        <w:rPr>
          <w:rFonts w:ascii="標楷體" w:eastAsia="標楷體" w:hAnsi="標楷體" w:hint="eastAsia"/>
          <w:sz w:val="22"/>
          <w:szCs w:val="20"/>
        </w:rPr>
      </w:pPr>
      <w:r>
        <w:rPr>
          <w:rFonts w:ascii="標楷體" w:eastAsia="標楷體" w:hAnsi="標楷體" w:hint="eastAsia"/>
          <w:sz w:val="22"/>
          <w:szCs w:val="20"/>
        </w:rPr>
        <w:t>圖1：</w:t>
      </w:r>
      <w:r w:rsidR="00CA5725">
        <w:rPr>
          <w:rFonts w:ascii="標楷體" w:eastAsia="標楷體" w:hAnsi="標楷體" w:hint="eastAsia"/>
          <w:sz w:val="22"/>
          <w:szCs w:val="20"/>
        </w:rPr>
        <w:t>橡膠手實驗示意圖</w:t>
      </w:r>
    </w:p>
    <w:p w14:paraId="6A3FB6F7" w14:textId="05723151" w:rsidR="00981EF3" w:rsidRPr="0057272F" w:rsidRDefault="006B69A9" w:rsidP="0057272F">
      <w:pPr>
        <w:pStyle w:val="a3"/>
        <w:numPr>
          <w:ilvl w:val="0"/>
          <w:numId w:val="1"/>
        </w:numPr>
        <w:ind w:leftChars="0"/>
        <w:rPr>
          <w:rFonts w:ascii="標楷體" w:eastAsia="標楷體" w:hAnsi="標楷體"/>
          <w:b/>
          <w:bCs/>
        </w:rPr>
      </w:pPr>
      <w:r w:rsidRPr="0057272F">
        <w:rPr>
          <w:rFonts w:ascii="標楷體" w:eastAsia="標楷體" w:hAnsi="標楷體" w:hint="eastAsia"/>
          <w:b/>
          <w:bCs/>
        </w:rPr>
        <w:t>網路遊戲與人際關係</w:t>
      </w:r>
    </w:p>
    <w:p w14:paraId="07BD922B" w14:textId="2326ACAB" w:rsidR="00757914" w:rsidRPr="008A023F" w:rsidRDefault="00757914" w:rsidP="00757914">
      <w:pPr>
        <w:overflowPunct w:val="0"/>
        <w:jc w:val="both"/>
        <w:rPr>
          <w:rFonts w:ascii="標楷體" w:eastAsia="標楷體" w:hAnsi="標楷體"/>
        </w:rPr>
      </w:pPr>
      <w:r>
        <w:rPr>
          <w:rFonts w:ascii="標楷體" w:eastAsia="標楷體" w:hAnsi="標楷體" w:hint="eastAsia"/>
          <w:b/>
          <w:bCs/>
        </w:rPr>
        <w:t xml:space="preserve">    </w:t>
      </w:r>
      <w:r w:rsidRPr="008A023F">
        <w:rPr>
          <w:rFonts w:ascii="標楷體" w:eastAsia="標楷體" w:hAnsi="標楷體"/>
        </w:rPr>
        <w:t>青少年會沉迷網路遊戲，主要原因是在玩遊戲過程中會達成所謂的成就感</w:t>
      </w:r>
      <w:r>
        <w:rPr>
          <w:rFonts w:ascii="標楷體" w:eastAsia="標楷體" w:hAnsi="標楷體" w:hint="eastAsia"/>
        </w:rPr>
        <w:t>：</w:t>
      </w:r>
      <w:r w:rsidRPr="008A023F">
        <w:rPr>
          <w:rFonts w:ascii="標楷體" w:eastAsia="標楷體" w:hAnsi="標楷體"/>
        </w:rPr>
        <w:t>這能增加與同儕的話題，並因此認識很多朋友。尤其青少年玩網路遊戲受同儕影響很大，經常在一起的同學，大多遊玩相同類型的網路遊戲，聊共同的遊戲話題，而非碰面的時候也可以透過網路遊戲中聊天室的文字溝通或語音聊天程式同步進行遊戲，而這過程其實就是進行人際關係交流。楊易惠發現青少年適當的使用網路可以交友、並磨練、增進人際互動技巧和經驗，青少年在網路遊戲中可以輕易赢得友誼並獲得歸屬感，更可以去除現實生活中不愉快的經驗（楊易惠</w:t>
      </w:r>
      <w:r>
        <w:rPr>
          <w:rFonts w:ascii="標楷體" w:eastAsia="標楷體" w:hAnsi="標楷體" w:hint="eastAsia"/>
        </w:rPr>
        <w:t>，</w:t>
      </w:r>
      <w:r w:rsidRPr="008A023F">
        <w:rPr>
          <w:rFonts w:ascii="標楷體" w:eastAsia="標楷體" w:hAnsi="標楷體"/>
        </w:rPr>
        <w:t>2005）。洪華</w:t>
      </w:r>
      <w:proofErr w:type="gramStart"/>
      <w:r w:rsidRPr="008A023F">
        <w:rPr>
          <w:rFonts w:ascii="標楷體" w:eastAsia="標楷體" w:hAnsi="標楷體"/>
        </w:rPr>
        <w:t>檜</w:t>
      </w:r>
      <w:proofErr w:type="gramEnd"/>
      <w:r w:rsidRPr="008A023F">
        <w:rPr>
          <w:rFonts w:ascii="標楷體" w:eastAsia="標楷體" w:hAnsi="標楷體"/>
        </w:rPr>
        <w:t>研究指出，網路遊戲可建立青少年對事物的認知，突破遊戲問題時可激發成就感、滿足自我實現與支配感的需求。青少年遊玩網路遊戲經驗越多，其成就動機越強，玩遊戲的女性不僅成就動機增加，也變得更有自信（洪華</w:t>
      </w:r>
      <w:proofErr w:type="gramStart"/>
      <w:r w:rsidRPr="008A023F">
        <w:rPr>
          <w:rFonts w:ascii="標楷體" w:eastAsia="標楷體" w:hAnsi="標楷體"/>
        </w:rPr>
        <w:t>檜</w:t>
      </w:r>
      <w:proofErr w:type="gramEnd"/>
      <w:r>
        <w:rPr>
          <w:rFonts w:ascii="標楷體" w:eastAsia="標楷體" w:hAnsi="標楷體" w:hint="eastAsia"/>
        </w:rPr>
        <w:t>，</w:t>
      </w:r>
      <w:r w:rsidRPr="008A023F">
        <w:rPr>
          <w:rFonts w:ascii="標楷體" w:eastAsia="標楷體" w:hAnsi="標楷體"/>
        </w:rPr>
        <w:t>2006）。廖思涵指出有國中生在玩網路遊戲一段時間後，逐漸能找到適當的模式來處理較為複雜的人際關係問題，進而提升對人的信賴，並做事方式也變的熱心助人(廖思涵</w:t>
      </w:r>
      <w:r>
        <w:rPr>
          <w:rFonts w:ascii="標楷體" w:eastAsia="標楷體" w:hAnsi="標楷體" w:hint="eastAsia"/>
        </w:rPr>
        <w:t>，</w:t>
      </w:r>
      <w:r w:rsidRPr="008A023F">
        <w:rPr>
          <w:rFonts w:ascii="標楷體" w:eastAsia="標楷體" w:hAnsi="標楷體"/>
        </w:rPr>
        <w:t>2005)。</w:t>
      </w:r>
    </w:p>
    <w:p w14:paraId="45DD7DF9" w14:textId="76AFDE6B" w:rsidR="00757914" w:rsidRPr="00757914" w:rsidRDefault="00757914" w:rsidP="00757914">
      <w:pPr>
        <w:overflowPunct w:val="0"/>
        <w:jc w:val="both"/>
        <w:rPr>
          <w:rFonts w:ascii="標楷體" w:eastAsia="標楷體" w:hAnsi="標楷體" w:hint="eastAsia"/>
        </w:rPr>
      </w:pPr>
      <w:r>
        <w:rPr>
          <w:rFonts w:ascii="標楷體" w:eastAsia="標楷體" w:hAnsi="標楷體" w:hint="eastAsia"/>
        </w:rPr>
        <w:t xml:space="preserve">    </w:t>
      </w:r>
      <w:r w:rsidRPr="008A023F">
        <w:rPr>
          <w:rFonts w:ascii="標楷體" w:eastAsia="標楷體" w:hAnsi="標楷體"/>
        </w:rPr>
        <w:t>根據上述回顧，我們可以發現網路遊戲不僅是一個只是網路人際關係的交流互動，現實生活人際關係與做事方式，會影響人在網路上的行為，而網路上的網路人際關係也會影響現實生活的層面，帶給人們不一樣的改變與成長。網路遊戲在青少年而言是一個很重要的話題與娛樂選項，網路遊戲並不是不好，而是錯誤的使用方式會造成遊戲成癮、網路沉迷等現象，但正確的使用網路遊戲能夠幫助青少年在人際關係與人格發展上獲得進步與提升</w:t>
      </w:r>
      <w:proofErr w:type="gramStart"/>
      <w:r w:rsidRPr="008A023F">
        <w:rPr>
          <w:rFonts w:ascii="標楷體" w:eastAsia="標楷體" w:hAnsi="標楷體"/>
        </w:rPr>
        <w:t>（</w:t>
      </w:r>
      <w:proofErr w:type="gramEnd"/>
      <w:r w:rsidRPr="008A023F">
        <w:rPr>
          <w:rFonts w:ascii="標楷體" w:eastAsia="標楷體" w:hAnsi="標楷體"/>
        </w:rPr>
        <w:t>楊易惠，2005；廖思涵，2005；</w:t>
      </w:r>
      <w:proofErr w:type="gramStart"/>
      <w:r w:rsidRPr="008A023F">
        <w:rPr>
          <w:rFonts w:ascii="標楷體" w:eastAsia="標楷體" w:hAnsi="標楷體"/>
        </w:rPr>
        <w:t>林佑儒</w:t>
      </w:r>
      <w:proofErr w:type="gramEnd"/>
      <w:r w:rsidRPr="008A023F">
        <w:rPr>
          <w:rFonts w:ascii="標楷體" w:eastAsia="標楷體" w:hAnsi="標楷體"/>
        </w:rPr>
        <w:t>，2018</w:t>
      </w:r>
      <w:proofErr w:type="gramStart"/>
      <w:r w:rsidRPr="008A023F">
        <w:rPr>
          <w:rFonts w:ascii="標楷體" w:eastAsia="標楷體" w:hAnsi="標楷體"/>
        </w:rPr>
        <w:t>）</w:t>
      </w:r>
      <w:proofErr w:type="gramEnd"/>
    </w:p>
    <w:p w14:paraId="5BCCAA49" w14:textId="3AD87033" w:rsidR="00757914" w:rsidRPr="00757914" w:rsidRDefault="00757914" w:rsidP="00757914">
      <w:pPr>
        <w:pStyle w:val="a3"/>
        <w:numPr>
          <w:ilvl w:val="0"/>
          <w:numId w:val="1"/>
        </w:numPr>
        <w:ind w:leftChars="0"/>
        <w:rPr>
          <w:rFonts w:ascii="標楷體" w:eastAsia="標楷體" w:hAnsi="標楷體" w:hint="eastAsia"/>
          <w:b/>
          <w:bCs/>
        </w:rPr>
      </w:pPr>
      <w:r>
        <w:rPr>
          <w:rFonts w:ascii="標楷體" w:eastAsia="標楷體" w:hAnsi="標楷體" w:hint="eastAsia"/>
          <w:b/>
          <w:bCs/>
        </w:rPr>
        <w:t>裝置介紹</w:t>
      </w:r>
    </w:p>
    <w:p w14:paraId="4CDCF614" w14:textId="77777777" w:rsidR="00757914" w:rsidRDefault="00757914" w:rsidP="00757914">
      <w:pPr>
        <w:jc w:val="both"/>
        <w:rPr>
          <w:rFonts w:ascii="標楷體" w:eastAsia="標楷體" w:hAnsi="標楷體"/>
        </w:rPr>
      </w:pPr>
      <w:r>
        <w:rPr>
          <w:rFonts w:ascii="標楷體" w:eastAsia="標楷體" w:hAnsi="標楷體" w:hint="eastAsia"/>
        </w:rPr>
        <w:t xml:space="preserve">    </w:t>
      </w:r>
      <w:r w:rsidRPr="00757914">
        <w:rPr>
          <w:rFonts w:ascii="標楷體" w:eastAsia="標楷體" w:hAnsi="標楷體"/>
        </w:rPr>
        <w:t>Oculus Quest 2是一款由</w:t>
      </w:r>
      <w:hyperlink r:id="rId11" w:history="1">
        <w:r w:rsidRPr="00757914">
          <w:rPr>
            <w:rFonts w:ascii="標楷體" w:eastAsia="標楷體" w:hAnsi="標楷體"/>
          </w:rPr>
          <w:t>Meta Platforms</w:t>
        </w:r>
      </w:hyperlink>
      <w:r w:rsidRPr="00757914">
        <w:rPr>
          <w:rFonts w:ascii="標楷體" w:eastAsia="標楷體" w:hAnsi="標楷體"/>
        </w:rPr>
        <w:t>（原</w:t>
      </w:r>
      <w:hyperlink r:id="rId12" w:history="1">
        <w:r w:rsidRPr="00757914">
          <w:rPr>
            <w:rFonts w:ascii="標楷體" w:eastAsia="標楷體" w:hAnsi="標楷體"/>
          </w:rPr>
          <w:t>Facebook</w:t>
        </w:r>
      </w:hyperlink>
      <w:r w:rsidRPr="00757914">
        <w:rPr>
          <w:rFonts w:ascii="標楷體" w:eastAsia="標楷體" w:hAnsi="標楷體"/>
        </w:rPr>
        <w:t>）旗下的品牌</w:t>
      </w:r>
      <w:hyperlink r:id="rId13" w:history="1">
        <w:r w:rsidRPr="00757914">
          <w:rPr>
            <w:rFonts w:ascii="標楷體" w:eastAsia="標楷體" w:hAnsi="標楷體"/>
          </w:rPr>
          <w:t>Oculus</w:t>
        </w:r>
      </w:hyperlink>
      <w:r w:rsidRPr="00757914">
        <w:rPr>
          <w:rFonts w:ascii="標楷體" w:eastAsia="標楷體" w:hAnsi="標楷體"/>
        </w:rPr>
        <w:t>推出的</w:t>
      </w:r>
      <w:hyperlink r:id="rId14" w:history="1">
        <w:r w:rsidRPr="00757914">
          <w:rPr>
            <w:rFonts w:ascii="標楷體" w:eastAsia="標楷體" w:hAnsi="標楷體"/>
          </w:rPr>
          <w:t>虛擬實境眼鏡</w:t>
        </w:r>
      </w:hyperlink>
      <w:r w:rsidRPr="00757914">
        <w:rPr>
          <w:rFonts w:ascii="標楷體" w:eastAsia="標楷體" w:hAnsi="標楷體"/>
        </w:rPr>
        <w:t>。它是</w:t>
      </w:r>
      <w:hyperlink r:id="rId15" w:history="1">
        <w:r w:rsidRPr="00757914">
          <w:rPr>
            <w:rFonts w:ascii="標楷體" w:eastAsia="標楷體" w:hAnsi="標楷體"/>
          </w:rPr>
          <w:t>Oculus Quest</w:t>
        </w:r>
      </w:hyperlink>
      <w:r w:rsidRPr="00757914">
        <w:rPr>
          <w:rFonts w:ascii="標楷體" w:eastAsia="標楷體" w:hAnsi="標楷體"/>
        </w:rPr>
        <w:t>之後的新一代產品。Quest 2最初在2020年9月16日於</w:t>
      </w:r>
      <w:hyperlink r:id="rId16" w:history="1">
        <w:r w:rsidRPr="00757914">
          <w:rPr>
            <w:rFonts w:ascii="標楷體" w:eastAsia="標楷體" w:hAnsi="標楷體"/>
          </w:rPr>
          <w:t>Facebook Connect 7</w:t>
        </w:r>
      </w:hyperlink>
      <w:r w:rsidRPr="00757914">
        <w:rPr>
          <w:rFonts w:ascii="標楷體" w:eastAsia="標楷體" w:hAnsi="標楷體"/>
        </w:rPr>
        <w:t>期間初次發布。與其上一代產品一樣，Quest 2既可以作為運行</w:t>
      </w:r>
      <w:hyperlink r:id="rId17" w:history="1">
        <w:r w:rsidRPr="00757914">
          <w:rPr>
            <w:rFonts w:ascii="標楷體" w:eastAsia="標楷體" w:hAnsi="標楷體"/>
          </w:rPr>
          <w:t>Android</w:t>
        </w:r>
      </w:hyperlink>
      <w:r w:rsidRPr="00757914">
        <w:rPr>
          <w:rFonts w:ascii="標楷體" w:eastAsia="標楷體" w:hAnsi="標楷體"/>
        </w:rPr>
        <w:t>作業系統的設備獨立運行，也可以通過</w:t>
      </w:r>
      <w:hyperlink r:id="rId18" w:history="1">
        <w:r w:rsidRPr="00757914">
          <w:rPr>
            <w:rFonts w:ascii="標楷體" w:eastAsia="標楷體" w:hAnsi="標楷體"/>
          </w:rPr>
          <w:t>USB</w:t>
        </w:r>
      </w:hyperlink>
      <w:r w:rsidRPr="00757914">
        <w:rPr>
          <w:rFonts w:ascii="標楷體" w:eastAsia="標楷體" w:hAnsi="標楷體"/>
        </w:rPr>
        <w:t>或</w:t>
      </w:r>
      <w:hyperlink r:id="rId19" w:history="1">
        <w:r w:rsidRPr="00757914">
          <w:rPr>
            <w:rFonts w:ascii="標楷體" w:eastAsia="標楷體" w:hAnsi="標楷體"/>
          </w:rPr>
          <w:t>Wi-Fi</w:t>
        </w:r>
      </w:hyperlink>
      <w:r w:rsidRPr="00757914">
        <w:rPr>
          <w:rFonts w:ascii="標楷體" w:eastAsia="標楷體" w:hAnsi="標楷體"/>
        </w:rPr>
        <w:t>連接到</w:t>
      </w:r>
      <w:hyperlink r:id="rId20" w:history="1">
        <w:r w:rsidRPr="00757914">
          <w:rPr>
            <w:rFonts w:ascii="標楷體" w:eastAsia="標楷體" w:hAnsi="標楷體"/>
          </w:rPr>
          <w:t>台式計算機</w:t>
        </w:r>
      </w:hyperlink>
      <w:r w:rsidRPr="00757914">
        <w:rPr>
          <w:rFonts w:ascii="標楷體" w:eastAsia="標楷體" w:hAnsi="標楷體"/>
        </w:rPr>
        <w:t>以運行Oculus兼容的VR軟體。</w:t>
      </w:r>
    </w:p>
    <w:p w14:paraId="4212AD4C" w14:textId="3EBDA74D" w:rsidR="004B74D4" w:rsidRPr="00CA5725" w:rsidRDefault="00757914" w:rsidP="008A023F">
      <w:pPr>
        <w:jc w:val="both"/>
        <w:rPr>
          <w:rFonts w:ascii="標楷體" w:eastAsia="標楷體" w:hAnsi="標楷體" w:hint="eastAsia"/>
        </w:rPr>
      </w:pPr>
      <w:r>
        <w:rPr>
          <w:rFonts w:ascii="標楷體" w:eastAsia="標楷體" w:hAnsi="標楷體" w:hint="eastAsia"/>
        </w:rPr>
        <w:t xml:space="preserve">    </w:t>
      </w:r>
      <w:r w:rsidRPr="00757914">
        <w:rPr>
          <w:rFonts w:ascii="標楷體" w:eastAsia="標楷體" w:hAnsi="標楷體"/>
        </w:rPr>
        <w:t>Quest 2是對第一代Oculus Quest的更新。相較於Quest，Quest 2具有類似的設計，更輕的重量，新一代的內部硬體，更高</w:t>
      </w:r>
      <w:hyperlink r:id="rId21" w:history="1">
        <w:r w:rsidRPr="00757914">
          <w:rPr>
            <w:rFonts w:ascii="標楷體" w:eastAsia="標楷體" w:hAnsi="標楷體"/>
          </w:rPr>
          <w:t>刷新率</w:t>
        </w:r>
      </w:hyperlink>
      <w:r w:rsidRPr="00757914">
        <w:rPr>
          <w:rFonts w:ascii="標楷體" w:eastAsia="標楷體" w:hAnsi="標楷體"/>
        </w:rPr>
        <w:t>和單眼解析度的顯示屏，以及新一代的</w:t>
      </w:r>
      <w:hyperlink r:id="rId22" w:history="1">
        <w:r w:rsidRPr="00757914">
          <w:rPr>
            <w:rFonts w:ascii="標楷體" w:eastAsia="標楷體" w:hAnsi="標楷體"/>
          </w:rPr>
          <w:t>Oculus Touch</w:t>
        </w:r>
      </w:hyperlink>
      <w:r w:rsidRPr="00757914">
        <w:rPr>
          <w:rFonts w:ascii="標楷體" w:eastAsia="標楷體" w:hAnsi="標楷體"/>
        </w:rPr>
        <w:t>控制器</w:t>
      </w:r>
      <w:r>
        <w:rPr>
          <w:rFonts w:ascii="標楷體" w:eastAsia="標楷體" w:hAnsi="標楷體" w:hint="eastAsia"/>
        </w:rPr>
        <w:t>（維基百科）</w:t>
      </w:r>
      <w:r w:rsidRPr="00757914">
        <w:rPr>
          <w:rFonts w:ascii="標楷體" w:eastAsia="標楷體" w:hAnsi="標楷體"/>
        </w:rPr>
        <w:t>。</w:t>
      </w:r>
    </w:p>
    <w:sectPr w:rsidR="004B74D4" w:rsidRPr="00CA572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Kozuka Mincho Pro M">
    <w:panose1 w:val="02020600000000000000"/>
    <w:charset w:val="80"/>
    <w:family w:val="roman"/>
    <w:notTrueType/>
    <w:pitch w:val="variable"/>
    <w:sig w:usb0="E00002FF" w:usb1="6AC7FCFF" w:usb2="00000012" w:usb3="00000000" w:csb0="0002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C4952"/>
    <w:multiLevelType w:val="hybridMultilevel"/>
    <w:tmpl w:val="3CCCE37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4F96C8C"/>
    <w:multiLevelType w:val="hybridMultilevel"/>
    <w:tmpl w:val="AEAC7018"/>
    <w:lvl w:ilvl="0" w:tplc="8D64A6FE">
      <w:start w:val="3"/>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82104DF"/>
    <w:multiLevelType w:val="hybridMultilevel"/>
    <w:tmpl w:val="16BC9F90"/>
    <w:lvl w:ilvl="0" w:tplc="0409000F">
      <w:start w:val="1"/>
      <w:numFmt w:val="decimal"/>
      <w:lvlText w:val="%1."/>
      <w:lvlJc w:val="left"/>
      <w:pPr>
        <w:ind w:left="720" w:hanging="72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3DA76C1B"/>
    <w:multiLevelType w:val="hybridMultilevel"/>
    <w:tmpl w:val="15E2CD54"/>
    <w:lvl w:ilvl="0" w:tplc="FFFFFFFF">
      <w:start w:val="1"/>
      <w:numFmt w:val="decimal"/>
      <w:lvlText w:val="%1."/>
      <w:lvlJc w:val="left"/>
      <w:pPr>
        <w:ind w:left="480" w:hanging="480"/>
      </w:pPr>
    </w:lvl>
    <w:lvl w:ilvl="1" w:tplc="B662565E">
      <w:start w:val="1"/>
      <w:numFmt w:val="decimal"/>
      <w:lvlText w:val="（%2）"/>
      <w:lvlJc w:val="left"/>
      <w:pPr>
        <w:ind w:left="1200" w:hanging="720"/>
      </w:pPr>
      <w:rPr>
        <w:rFonts w:hint="default"/>
      </w:r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 w15:restartNumberingAfterBreak="0">
    <w:nsid w:val="40D91508"/>
    <w:multiLevelType w:val="multilevel"/>
    <w:tmpl w:val="FF76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F5B14"/>
    <w:multiLevelType w:val="hybridMultilevel"/>
    <w:tmpl w:val="477CCB2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37F661C"/>
    <w:multiLevelType w:val="hybridMultilevel"/>
    <w:tmpl w:val="BF0471A0"/>
    <w:lvl w:ilvl="0" w:tplc="255A6986">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8A76BD6"/>
    <w:multiLevelType w:val="hybridMultilevel"/>
    <w:tmpl w:val="99F83B0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7"/>
  </w:num>
  <w:num w:numId="4">
    <w:abstractNumId w:val="1"/>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E62"/>
    <w:rsid w:val="00076282"/>
    <w:rsid w:val="000C4D13"/>
    <w:rsid w:val="00114571"/>
    <w:rsid w:val="0013329C"/>
    <w:rsid w:val="001628D8"/>
    <w:rsid w:val="00271A55"/>
    <w:rsid w:val="00294423"/>
    <w:rsid w:val="002E7CCA"/>
    <w:rsid w:val="00306517"/>
    <w:rsid w:val="00321EC3"/>
    <w:rsid w:val="003337E6"/>
    <w:rsid w:val="003C7F16"/>
    <w:rsid w:val="004645D7"/>
    <w:rsid w:val="00490B4F"/>
    <w:rsid w:val="004B3605"/>
    <w:rsid w:val="004B74D4"/>
    <w:rsid w:val="004D7D09"/>
    <w:rsid w:val="00546C68"/>
    <w:rsid w:val="0057272F"/>
    <w:rsid w:val="005F0737"/>
    <w:rsid w:val="006309A8"/>
    <w:rsid w:val="006B69A9"/>
    <w:rsid w:val="006E6BD2"/>
    <w:rsid w:val="00757914"/>
    <w:rsid w:val="007A54CC"/>
    <w:rsid w:val="00822DAA"/>
    <w:rsid w:val="008A023F"/>
    <w:rsid w:val="00981EF3"/>
    <w:rsid w:val="009B0416"/>
    <w:rsid w:val="00A2357F"/>
    <w:rsid w:val="00AA15A7"/>
    <w:rsid w:val="00BE74C2"/>
    <w:rsid w:val="00C07125"/>
    <w:rsid w:val="00C262A8"/>
    <w:rsid w:val="00CA5725"/>
    <w:rsid w:val="00CE1F0C"/>
    <w:rsid w:val="00CE7811"/>
    <w:rsid w:val="00D73E62"/>
    <w:rsid w:val="00F47F9B"/>
    <w:rsid w:val="00F85C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5E5FA"/>
  <w15:docId w15:val="{E8A57F4B-9D82-4907-8A69-DC1AB3BD4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3E62"/>
    <w:pPr>
      <w:ind w:leftChars="200" w:left="480"/>
    </w:pPr>
  </w:style>
  <w:style w:type="table" w:styleId="a4">
    <w:name w:val="Table Grid"/>
    <w:basedOn w:val="a1"/>
    <w:uiPriority w:val="39"/>
    <w:rsid w:val="004B7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4B74D4"/>
    <w:tblPr>
      <w:tblStyleRowBandSize w:val="1"/>
      <w:tblStyleColBandSize w:val="1"/>
      <w:tblBorders>
        <w:top w:val="single" w:sz="24" w:space="0" w:color="auto"/>
        <w:bottom w:val="single" w:sz="2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essagelistitem-zz7v6g">
    <w:name w:val="messagelistitem-zz7v6g"/>
    <w:basedOn w:val="a"/>
    <w:rsid w:val="0057272F"/>
    <w:pPr>
      <w:widowControl/>
      <w:spacing w:before="100" w:beforeAutospacing="1" w:after="100" w:afterAutospacing="1"/>
    </w:pPr>
    <w:rPr>
      <w:rFonts w:ascii="新細明體" w:eastAsia="新細明體" w:hAnsi="新細明體" w:cs="新細明體"/>
      <w:kern w:val="0"/>
      <w:szCs w:val="24"/>
    </w:rPr>
  </w:style>
  <w:style w:type="character" w:styleId="a5">
    <w:name w:val="annotation reference"/>
    <w:basedOn w:val="a0"/>
    <w:uiPriority w:val="99"/>
    <w:semiHidden/>
    <w:unhideWhenUsed/>
    <w:rsid w:val="003C7F16"/>
    <w:rPr>
      <w:sz w:val="18"/>
      <w:szCs w:val="18"/>
    </w:rPr>
  </w:style>
  <w:style w:type="paragraph" w:styleId="a6">
    <w:name w:val="annotation text"/>
    <w:basedOn w:val="a"/>
    <w:link w:val="a7"/>
    <w:uiPriority w:val="99"/>
    <w:semiHidden/>
    <w:unhideWhenUsed/>
    <w:rsid w:val="003C7F16"/>
  </w:style>
  <w:style w:type="character" w:customStyle="1" w:styleId="a7">
    <w:name w:val="註解文字 字元"/>
    <w:basedOn w:val="a0"/>
    <w:link w:val="a6"/>
    <w:uiPriority w:val="99"/>
    <w:semiHidden/>
    <w:rsid w:val="003C7F16"/>
  </w:style>
  <w:style w:type="paragraph" w:styleId="a8">
    <w:name w:val="annotation subject"/>
    <w:basedOn w:val="a6"/>
    <w:next w:val="a6"/>
    <w:link w:val="a9"/>
    <w:uiPriority w:val="99"/>
    <w:semiHidden/>
    <w:unhideWhenUsed/>
    <w:rsid w:val="003C7F16"/>
    <w:rPr>
      <w:b/>
      <w:bCs/>
    </w:rPr>
  </w:style>
  <w:style w:type="character" w:customStyle="1" w:styleId="a9">
    <w:name w:val="註解主旨 字元"/>
    <w:basedOn w:val="a7"/>
    <w:link w:val="a8"/>
    <w:uiPriority w:val="99"/>
    <w:semiHidden/>
    <w:rsid w:val="003C7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893802">
      <w:bodyDiv w:val="1"/>
      <w:marLeft w:val="0"/>
      <w:marRight w:val="0"/>
      <w:marTop w:val="0"/>
      <w:marBottom w:val="0"/>
      <w:divBdr>
        <w:top w:val="none" w:sz="0" w:space="0" w:color="auto"/>
        <w:left w:val="none" w:sz="0" w:space="0" w:color="auto"/>
        <w:bottom w:val="none" w:sz="0" w:space="0" w:color="auto"/>
        <w:right w:val="none" w:sz="0" w:space="0" w:color="auto"/>
      </w:divBdr>
      <w:divsChild>
        <w:div w:id="199319586">
          <w:marLeft w:val="0"/>
          <w:marRight w:val="0"/>
          <w:marTop w:val="0"/>
          <w:marBottom w:val="0"/>
          <w:divBdr>
            <w:top w:val="none" w:sz="0" w:space="0" w:color="auto"/>
            <w:left w:val="none" w:sz="0" w:space="0" w:color="auto"/>
            <w:bottom w:val="none" w:sz="0" w:space="0" w:color="auto"/>
            <w:right w:val="none" w:sz="0" w:space="0" w:color="auto"/>
          </w:divBdr>
          <w:divsChild>
            <w:div w:id="75827648">
              <w:marLeft w:val="0"/>
              <w:marRight w:val="0"/>
              <w:marTop w:val="0"/>
              <w:marBottom w:val="0"/>
              <w:divBdr>
                <w:top w:val="none" w:sz="0" w:space="0" w:color="auto"/>
                <w:left w:val="none" w:sz="0" w:space="0" w:color="auto"/>
                <w:bottom w:val="none" w:sz="0" w:space="0" w:color="auto"/>
                <w:right w:val="none" w:sz="0" w:space="0" w:color="auto"/>
              </w:divBdr>
              <w:divsChild>
                <w:div w:id="15560461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zh.wikipedia.org/wiki/Oculus" TargetMode="External"/><Relationship Id="rId18" Type="http://schemas.openxmlformats.org/officeDocument/2006/relationships/hyperlink" Target="https://zh.wikipedia.org/wiki/USB" TargetMode="External"/><Relationship Id="rId3" Type="http://schemas.openxmlformats.org/officeDocument/2006/relationships/customXml" Target="../customXml/item3.xml"/><Relationship Id="rId21" Type="http://schemas.openxmlformats.org/officeDocument/2006/relationships/hyperlink" Target="https://zh.wikipedia.org/wiki/%E5%88%B7%E6%96%B0%E7%8E%87" TargetMode="External"/><Relationship Id="rId7" Type="http://schemas.openxmlformats.org/officeDocument/2006/relationships/settings" Target="settings.xml"/><Relationship Id="rId12" Type="http://schemas.openxmlformats.org/officeDocument/2006/relationships/hyperlink" Target="https://zh.wikipedia.org/wiki/Facebook" TargetMode="External"/><Relationship Id="rId17" Type="http://schemas.openxmlformats.org/officeDocument/2006/relationships/hyperlink" Target="https://zh.wikipedia.org/wiki/Android" TargetMode="External"/><Relationship Id="rId2" Type="http://schemas.openxmlformats.org/officeDocument/2006/relationships/customXml" Target="../customXml/item2.xml"/><Relationship Id="rId16" Type="http://schemas.openxmlformats.org/officeDocument/2006/relationships/hyperlink" Target="https://zh.wikipedia.org/w/index.php?title=Facebook_Connect&amp;action=edit&amp;redlink=1" TargetMode="External"/><Relationship Id="rId20" Type="http://schemas.openxmlformats.org/officeDocument/2006/relationships/hyperlink" Target="https://zh.wikipedia.org/wiki/%E6%A1%8C%E4%B8%8A%E5%9E%8B%E9%9B%BB%E8%85%A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zh.wikipedia.org/wiki/Meta_(%E4%BC%81%E6%A5%AD)"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zh.wikipedia.org/wiki/Oculus_Quest"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zh.wikipedia.org/wiki/Wi-Fi"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zh.wikipedia.org/wiki/%E8%99%9B%E6%93%AC%E5%AF%A6%E5%A2%83%E7%9C%BC%E9%8F%A1" TargetMode="External"/><Relationship Id="rId22" Type="http://schemas.openxmlformats.org/officeDocument/2006/relationships/hyperlink" Target="https://zh.wikipedia.org/w/index.php?title=Oculus_%E8%A7%A6%E6%8E%A7&amp;action=edit&amp;redlink=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件" ma:contentTypeID="0x010100A41E73C71E3AC24C967E9054E33E1C89" ma:contentTypeVersion="0" ma:contentTypeDescription="建立新的文件。" ma:contentTypeScope="" ma:versionID="513674495c5aacf44eb8c91569e699d8">
  <xsd:schema xmlns:xsd="http://www.w3.org/2001/XMLSchema" xmlns:xs="http://www.w3.org/2001/XMLSchema" xmlns:p="http://schemas.microsoft.com/office/2006/metadata/properties" targetNamespace="http://schemas.microsoft.com/office/2006/metadata/properties" ma:root="true" ma:fieldsID="0c4d39db2b4b8da4d98f85ef4457f6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79C0E7-BDF6-4E81-B54E-509CC73E72F1}">
  <ds:schemaRefs>
    <ds:schemaRef ds:uri="http://schemas.openxmlformats.org/officeDocument/2006/bibliography"/>
  </ds:schemaRefs>
</ds:datastoreItem>
</file>

<file path=customXml/itemProps2.xml><?xml version="1.0" encoding="utf-8"?>
<ds:datastoreItem xmlns:ds="http://schemas.openxmlformats.org/officeDocument/2006/customXml" ds:itemID="{DE509EB1-9E78-443B-8F2D-B4320B0437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76D4D4E-792E-43F5-9C12-F450109A36DD}">
  <ds:schemaRefs>
    <ds:schemaRef ds:uri="http://schemas.microsoft.com/sharepoint/v3/contenttype/forms"/>
  </ds:schemaRefs>
</ds:datastoreItem>
</file>

<file path=customXml/itemProps4.xml><?xml version="1.0" encoding="utf-8"?>
<ds:datastoreItem xmlns:ds="http://schemas.openxmlformats.org/officeDocument/2006/customXml" ds:itemID="{0C98B6C0-69C2-4959-8DC5-873CD4B31B3B}">
  <ds:schemaRefs>
    <ds:schemaRef ds:uri="http://schemas.microsoft.com/office/infopath/2007/PartnerControls"/>
    <ds:schemaRef ds:uri="http://www.w3.org/XML/1998/namespace"/>
    <ds:schemaRef ds:uri="http://purl.org/dc/elements/1.1/"/>
    <ds:schemaRef ds:uri="http://schemas.microsoft.com/office/2006/documentManagement/types"/>
    <ds:schemaRef ds:uri="http://schemas.microsoft.com/office/2006/metadata/properties"/>
    <ds:schemaRef ds:uri="http://purl.org/dc/dcmitype/"/>
    <ds:schemaRef ds:uri="http://purl.org/dc/term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李汶洳</dc:creator>
  <cp:keywords/>
  <dc:description/>
  <cp:lastModifiedBy>汶洳 李</cp:lastModifiedBy>
  <cp:revision>2</cp:revision>
  <dcterms:created xsi:type="dcterms:W3CDTF">2022-02-17T06:08:00Z</dcterms:created>
  <dcterms:modified xsi:type="dcterms:W3CDTF">2022-02-17T06:08:00Z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0x010100A41E73C71E3AC24C967E9054E33E1C89</vt:lpwstr>
  </property>
</Properties>
</file>