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KR" w:hAnsi="Noto Sans KR" w:eastAsia="Noto Sans KR" w:cs="Noto Sans KR"/>
          <w:color w:val="000000"/>
        </w:rPr>
        <w:t>환불 안내 구조 비교 실습</w:t>
      </w:r>
    </w:p>
    <w:p>
      <w:r>
        <w:rPr>
          <w:rFonts w:ascii="Noto Sans KR" w:hAnsi="Noto Sans KR" w:eastAsia="Noto Sans KR" w:cs="Noto Sans KR"/>
          <w:color w:val="000000"/>
        </w:rPr>
        <w:t>교육용 합성 정책입니다. 실제 회사의 환불 기준이 아닙니다. 문단과 표의 조건을 원본과 대조하세요.</w:t>
      </w:r>
    </w:p>
    <w:p>
      <w:r>
        <w:rPr>
          <w:rFonts w:ascii="Noto Sans KR" w:hAnsi="Noto Sans KR" w:eastAsia="Noto Sans KR" w:cs="Noto Sans KR"/>
          <w:color w:val="000000"/>
        </w:rPr>
        <w:t>신청 기한은 7일입니다.</w:t>
      </w:r>
    </w:p>
    <w:p>
      <w:r>
        <w:rPr>
          <w:rFonts w:ascii="Noto Sans KR" w:hAnsi="Noto Sans KR" w:eastAsia="Noto Sans KR" w:cs="Noto Sans KR"/>
          <w:color w:val="000000"/>
        </w:rPr>
        <w:t>영수증을 함께 제출합니다.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처리 기준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6"/>
        <w:gridCol w:w="3600"/>
        <w:gridCol w:w="1440"/>
      </w:tblGrid>
      <w:tr>
        <w:trPr>
          <w:tblHeader/>
        </w:trPr>
        <w:tc>
          <w:tcPr>
            <w:tcW w:type="dxa" w:w="3312"/>
            <w:vAlign w:val="center"/>
            <w:shd w:fill="DCE9E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구분</w:t>
            </w:r>
          </w:p>
        </w:tc>
        <w:tc>
          <w:tcPr>
            <w:tcW w:type="dxa" w:w="3312"/>
            <w:vAlign w:val="center"/>
            <w:shd w:fill="DCE9E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기한</w:t>
            </w:r>
          </w:p>
        </w:tc>
        <w:tc>
          <w:tcPr>
            <w:tcW w:type="dxa" w:w="3312"/>
            <w:vAlign w:val="center"/>
            <w:shd w:fill="DCE9E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color w:val="000000"/>
              </w:rPr>
              <w:t>부담금</w:t>
            </w:r>
          </w:p>
        </w:tc>
      </w:tr>
      <w:tr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미사용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7일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color w:val="000000"/>
              </w:rPr>
              <w:t>0원</w:t>
            </w:r>
          </w:p>
        </w:tc>
      </w:tr>
      <w:tr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사용 이력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Noto Sans KR" w:hAnsi="Noto Sans KR" w:eastAsia="Noto Sans KR" w:cs="Noto Sans KR"/>
                <w:color w:val="000000"/>
              </w:rPr>
              <w:t>개별 검토</w:t>
            </w:r>
          </w:p>
        </w:tc>
        <w:tc>
          <w:tcPr>
            <w:tcW w:type="dxa" w:w="3312"/>
            <w:vAlign w:val="center"/>
            <w:shd w:fill="FFFFFF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Noto Sans KR" w:hAnsi="Noto Sans KR" w:eastAsia="Noto Sans KR" w:cs="Noto Sans KR"/>
                <w:color w:val="000000"/>
              </w:rPr>
              <w:t>15000원</w:t>
            </w:r>
          </w:p>
        </w:tc>
      </w:tr>
    </w:tbl>
    <w:p>
      <w:r>
        <w:rPr>
          <w:rFonts w:ascii="Noto Sans KR" w:hAnsi="Noto Sans KR" w:eastAsia="Noto Sans KR" w:cs="Noto Sans KR"/>
          <w:color w:val="000000"/>
        </w:rPr>
        <w:t>표의 금액만 보지 말고 해당 행과 열의 조건을 함께 확인하세요.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Noto Sans KR" w:hAnsi="Noto Sans K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Noto Sans KR" w:hAnsi="Noto Sans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Noto Sans KR" w:hAnsi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K-Edu synthetic teaching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